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48" w:rsidRPr="00D16752" w:rsidRDefault="00820B48" w:rsidP="00820B48">
      <w:pPr>
        <w:pStyle w:val="ContentsHeading"/>
        <w:rPr>
          <w:sz w:val="20"/>
        </w:rPr>
      </w:pPr>
      <w:r>
        <w:t xml:space="preserve">Charter of Human Rights Act in Queensland – Options Paper – Scope of application </w:t>
      </w:r>
    </w:p>
    <w:p w:rsidR="00820B48" w:rsidRDefault="00820B48" w:rsidP="00820B48">
      <w:pPr>
        <w:pStyle w:val="AllensHeading1"/>
      </w:pPr>
      <w:r w:rsidRPr="00F1530E">
        <w:t>Introduction</w:t>
      </w:r>
    </w:p>
    <w:p w:rsidR="00820B48" w:rsidRDefault="00820B48" w:rsidP="00820B48">
      <w:pPr>
        <w:pStyle w:val="NormalIndent"/>
      </w:pPr>
      <w:r>
        <w:t>The Queensland Parliament is currently considering the introduction of human rights legislation in Queensland. You have requested us to assist QAILS in preparing a submission to advocate for the mechanisms and substantive rights to be included in such legislation, including practical measures and considerations.</w:t>
      </w:r>
    </w:p>
    <w:p w:rsidR="00820B48" w:rsidRDefault="00BE0C13" w:rsidP="00820B48">
      <w:pPr>
        <w:pStyle w:val="NormalIndent"/>
      </w:pPr>
      <w:r>
        <w:t>T</w:t>
      </w:r>
      <w:r w:rsidR="00820B48">
        <w:t xml:space="preserve">his paper outlines the various positions QAILS may wish to support in relation to the </w:t>
      </w:r>
      <w:r w:rsidR="008953CC">
        <w:t>application</w:t>
      </w:r>
      <w:r w:rsidR="00820B48">
        <w:t xml:space="preserve"> of the Queensland Charter. </w:t>
      </w:r>
    </w:p>
    <w:p w:rsidR="002D2278" w:rsidRDefault="002D2278" w:rsidP="00820B48">
      <w:pPr>
        <w:pStyle w:val="AllensHeading1"/>
      </w:pPr>
      <w:r>
        <w:t>Summary</w:t>
      </w:r>
    </w:p>
    <w:p w:rsidR="00457F1B" w:rsidRPr="00457F1B" w:rsidRDefault="00457F1B" w:rsidP="00457F1B">
      <w:pPr>
        <w:ind w:left="709"/>
      </w:pPr>
      <w:r w:rsidRPr="00457F1B">
        <w:t>The critical question in relation to the scope of application of any proposed human rights legislation or charter, is whether its application should be confined to government or other public authorities or should extend (and if so how far) into the private sphere.</w:t>
      </w:r>
    </w:p>
    <w:p w:rsidR="002D2278" w:rsidRDefault="00512342" w:rsidP="002D2278">
      <w:pPr>
        <w:ind w:left="709"/>
      </w:pPr>
      <w:r>
        <w:t>T</w:t>
      </w:r>
      <w:r w:rsidR="002D2278">
        <w:t>he application of human rights legislation has typically been re</w:t>
      </w:r>
      <w:r w:rsidR="00165DD4">
        <w:t>stricted to 'public authorities</w:t>
      </w:r>
      <w:r w:rsidR="002D2278">
        <w:t>'</w:t>
      </w:r>
      <w:r w:rsidR="00165DD4">
        <w:t>.</w:t>
      </w:r>
      <w:r w:rsidR="002D2278">
        <w:t xml:space="preserve"> </w:t>
      </w:r>
      <w:r w:rsidR="00DB69ED">
        <w:t>However, that term has been variously defined</w:t>
      </w:r>
      <w:r w:rsidR="009F3C76">
        <w:t xml:space="preserve"> across jurisdictions. If QAILS wishes to advocate for a similar restriction, it should form a view as to its preferred definition. </w:t>
      </w:r>
    </w:p>
    <w:p w:rsidR="00657F9D" w:rsidRPr="002D2278" w:rsidRDefault="00657F9D" w:rsidP="00657F9D">
      <w:pPr>
        <w:ind w:left="709"/>
      </w:pPr>
      <w:r w:rsidRPr="00657F9D">
        <w:t>This paper discusses the various parameters used to define the scope of such legislation in other jurisdictions and the potential for application beyond the public sphere.</w:t>
      </w:r>
    </w:p>
    <w:p w:rsidR="00820B48" w:rsidRDefault="00D2336F" w:rsidP="00820B48">
      <w:pPr>
        <w:pStyle w:val="AllensHeading1"/>
      </w:pPr>
      <w:r>
        <w:t xml:space="preserve">Application to </w:t>
      </w:r>
      <w:r w:rsidR="009F3C76">
        <w:t>'Public Authorit</w:t>
      </w:r>
      <w:r>
        <w:t>ies</w:t>
      </w:r>
      <w:r w:rsidR="009F3C76">
        <w:t xml:space="preserve">' </w:t>
      </w:r>
    </w:p>
    <w:p w:rsidR="00820B48" w:rsidRDefault="009F3C76" w:rsidP="00820B48">
      <w:pPr>
        <w:pStyle w:val="AllensHeading2"/>
      </w:pPr>
      <w:r>
        <w:t>UK</w:t>
      </w:r>
      <w:r w:rsidR="00820B48">
        <w:t xml:space="preserve"> position</w:t>
      </w:r>
    </w:p>
    <w:p w:rsidR="009F3C76" w:rsidRPr="009F3C76" w:rsidRDefault="009F3C76" w:rsidP="009F3C76">
      <w:pPr>
        <w:pStyle w:val="NormalIndent"/>
      </w:pPr>
      <w:r w:rsidRPr="009F3C76">
        <w:t xml:space="preserve">The United Kingdom </w:t>
      </w:r>
      <w:r w:rsidRPr="009F3C76">
        <w:rPr>
          <w:i/>
          <w:iCs/>
        </w:rPr>
        <w:t>Human Rights Act 1998</w:t>
      </w:r>
      <w:r w:rsidRPr="009F3C76">
        <w:t>, s 6(3) defines ‘public authority’ as,</w:t>
      </w:r>
    </w:p>
    <w:p w:rsidR="009F3C76" w:rsidRPr="00C94523" w:rsidRDefault="009F3C76" w:rsidP="009F3C76">
      <w:pPr>
        <w:pStyle w:val="NormalIndent"/>
        <w:rPr>
          <w:i/>
        </w:rPr>
      </w:pPr>
      <w:r w:rsidRPr="00C94523">
        <w:rPr>
          <w:i/>
        </w:rPr>
        <w:t>(a) a court or tribunal, and</w:t>
      </w:r>
    </w:p>
    <w:p w:rsidR="009F3C76" w:rsidRPr="00C94523" w:rsidRDefault="009F3C76" w:rsidP="009F3C76">
      <w:pPr>
        <w:pStyle w:val="NormalIndent"/>
        <w:rPr>
          <w:i/>
        </w:rPr>
      </w:pPr>
      <w:r w:rsidRPr="00C94523">
        <w:rPr>
          <w:i/>
        </w:rPr>
        <w:t>(b) any person certain of whose functions a</w:t>
      </w:r>
      <w:r w:rsidR="006D59B0" w:rsidRPr="00C94523">
        <w:rPr>
          <w:i/>
        </w:rPr>
        <w:t>re functions of a public nature,</w:t>
      </w:r>
    </w:p>
    <w:p w:rsidR="006D59B0" w:rsidRPr="00C94523" w:rsidRDefault="006D59B0" w:rsidP="009F3C76">
      <w:pPr>
        <w:pStyle w:val="NormalIndent"/>
        <w:rPr>
          <w:i/>
        </w:rPr>
      </w:pPr>
      <w:r w:rsidRPr="00C94523">
        <w:rPr>
          <w:i/>
          <w:lang w:val="en"/>
        </w:rPr>
        <w:t xml:space="preserve">but does not include either House of Parliament or a person exercising functions in connection with proceedings in Parliament. </w:t>
      </w:r>
    </w:p>
    <w:p w:rsidR="009F3C76" w:rsidRDefault="009F3C76" w:rsidP="00116226">
      <w:pPr>
        <w:pStyle w:val="NormalIndent"/>
      </w:pPr>
      <w:r w:rsidRPr="009F3C76">
        <w:t>The legislative intent behind this definition was to exte</w:t>
      </w:r>
      <w:r>
        <w:t xml:space="preserve">nd compliance with human rights </w:t>
      </w:r>
      <w:r w:rsidRPr="009F3C76">
        <w:t>standards beyond purely State bodies to private and community bodi</w:t>
      </w:r>
      <w:r>
        <w:t xml:space="preserve">es undertaking functions on </w:t>
      </w:r>
      <w:r w:rsidRPr="009F3C76">
        <w:t>behalf of the State.</w:t>
      </w:r>
      <w:r>
        <w:rPr>
          <w:rStyle w:val="FootnoteReference"/>
        </w:rPr>
        <w:footnoteReference w:id="1"/>
      </w:r>
      <w:r w:rsidRPr="009F3C76">
        <w:t xml:space="preserve"> To achieve this s</w:t>
      </w:r>
      <w:r w:rsidR="00D2336F">
        <w:t>ection</w:t>
      </w:r>
      <w:r w:rsidRPr="009F3C76">
        <w:t xml:space="preserve"> 6(3) applies a ‘function test’ to </w:t>
      </w:r>
      <w:r>
        <w:t xml:space="preserve">the determination of whether an </w:t>
      </w:r>
      <w:r w:rsidRPr="009F3C76">
        <w:t>entity is a ‘public authority</w:t>
      </w:r>
      <w:r w:rsidR="00D20ED6">
        <w:t>'</w:t>
      </w:r>
      <w:r w:rsidRPr="009F3C76">
        <w:t>.</w:t>
      </w:r>
      <w:r w:rsidR="00116226">
        <w:t xml:space="preserve"> </w:t>
      </w:r>
      <w:r w:rsidR="00116226" w:rsidRPr="00116226">
        <w:t>However, application of that test ha</w:t>
      </w:r>
      <w:r w:rsidR="00116226">
        <w:t xml:space="preserve">s proved to be problematic. Its </w:t>
      </w:r>
      <w:r w:rsidR="00116226" w:rsidRPr="00116226">
        <w:t xml:space="preserve">interpretation is susceptible to different approaches </w:t>
      </w:r>
      <w:r w:rsidR="00D2336F" w:rsidRPr="00D2336F">
        <w:t>(as reasonable minds can clearly differ over whether a particular function is 'of a public nature'</w:t>
      </w:r>
      <w:r w:rsidR="00D2336F">
        <w:t xml:space="preserve">) </w:t>
      </w:r>
      <w:r w:rsidR="00116226" w:rsidRPr="00116226">
        <w:t>and, accordingly, to inconsistent outcomes.</w:t>
      </w:r>
      <w:r w:rsidR="00116226">
        <w:rPr>
          <w:rStyle w:val="FootnoteReference"/>
        </w:rPr>
        <w:footnoteReference w:id="2"/>
      </w:r>
    </w:p>
    <w:p w:rsidR="009F3C76" w:rsidRDefault="009F3C76" w:rsidP="009F3C76">
      <w:pPr>
        <w:pStyle w:val="AllensHeading2"/>
      </w:pPr>
      <w:r>
        <w:t>Victorian position</w:t>
      </w:r>
    </w:p>
    <w:p w:rsidR="006D59B0" w:rsidRDefault="00C94523" w:rsidP="006D59B0">
      <w:pPr>
        <w:pStyle w:val="NormalIndent"/>
      </w:pPr>
      <w:r>
        <w:t>Section 4 of the Victorian Charter provides as follows:</w:t>
      </w:r>
    </w:p>
    <w:p w:rsidR="00C94523" w:rsidRPr="00C94523" w:rsidRDefault="00C94523" w:rsidP="00C94523">
      <w:pPr>
        <w:pStyle w:val="DraftHeading2"/>
        <w:tabs>
          <w:tab w:val="right" w:pos="1247"/>
        </w:tabs>
        <w:ind w:left="1361" w:hanging="1361"/>
        <w:rPr>
          <w:rFonts w:ascii="Arial" w:hAnsi="Arial" w:cs="Arial"/>
          <w:i/>
          <w:sz w:val="20"/>
        </w:rPr>
      </w:pPr>
      <w:r w:rsidRPr="00C94523">
        <w:rPr>
          <w:i/>
        </w:rPr>
        <w:tab/>
      </w:r>
      <w:r w:rsidRPr="00C94523">
        <w:rPr>
          <w:rFonts w:ascii="Arial" w:hAnsi="Arial" w:cs="Arial"/>
          <w:i/>
          <w:sz w:val="20"/>
        </w:rPr>
        <w:t>(1)</w:t>
      </w:r>
      <w:r w:rsidRPr="00C94523">
        <w:rPr>
          <w:rFonts w:ascii="Arial" w:hAnsi="Arial" w:cs="Arial"/>
          <w:i/>
          <w:sz w:val="20"/>
        </w:rPr>
        <w:tab/>
        <w:t>For the purposes of this Charter a public authority is—</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(a)</w:t>
      </w:r>
      <w:r w:rsidRPr="00C94523">
        <w:rPr>
          <w:rFonts w:ascii="Arial" w:hAnsi="Arial" w:cs="Arial"/>
          <w:i/>
          <w:sz w:val="20"/>
        </w:rPr>
        <w:tab/>
        <w:t xml:space="preserve">a public official within the meaning of the </w:t>
      </w:r>
      <w:r w:rsidRPr="00C94523">
        <w:rPr>
          <w:rFonts w:ascii="Arial" w:hAnsi="Arial" w:cs="Arial"/>
          <w:b/>
          <w:i/>
          <w:sz w:val="20"/>
        </w:rPr>
        <w:t>Public Administration Act 2004</w:t>
      </w:r>
      <w:r w:rsidRPr="00C94523">
        <w:rPr>
          <w:rFonts w:ascii="Arial" w:hAnsi="Arial" w:cs="Arial"/>
          <w:i/>
          <w:sz w:val="20"/>
        </w:rPr>
        <w:t>;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(b)</w:t>
      </w:r>
      <w:r w:rsidRPr="00C94523">
        <w:rPr>
          <w:rFonts w:ascii="Arial" w:hAnsi="Arial" w:cs="Arial"/>
          <w:i/>
          <w:sz w:val="20"/>
        </w:rPr>
        <w:tab/>
        <w:t>an entity established by a statutory provision that has functions of a public nature;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(c)</w:t>
      </w:r>
      <w:r w:rsidRPr="00C94523">
        <w:rPr>
          <w:rFonts w:ascii="Arial" w:hAnsi="Arial" w:cs="Arial"/>
          <w:i/>
          <w:sz w:val="20"/>
        </w:rPr>
        <w:tab/>
        <w:t>an entity whose functions are or include functions of a public nature, when it is exercising those functions on behalf of the State or a public authority (whether under contract or otherwise);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(d)</w:t>
      </w:r>
      <w:r w:rsidRPr="00C94523">
        <w:rPr>
          <w:rFonts w:ascii="Arial" w:hAnsi="Arial" w:cs="Arial"/>
          <w:i/>
          <w:sz w:val="20"/>
        </w:rPr>
        <w:tab/>
        <w:t>Victoria Police;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(e)</w:t>
      </w:r>
      <w:r w:rsidRPr="00C94523">
        <w:rPr>
          <w:rFonts w:ascii="Arial" w:hAnsi="Arial" w:cs="Arial"/>
          <w:i/>
          <w:sz w:val="20"/>
        </w:rPr>
        <w:tab/>
        <w:t xml:space="preserve">a Council within the meaning of the </w:t>
      </w:r>
      <w:r w:rsidRPr="00C94523">
        <w:rPr>
          <w:rFonts w:ascii="Arial" w:hAnsi="Arial" w:cs="Arial"/>
          <w:b/>
          <w:i/>
          <w:sz w:val="20"/>
        </w:rPr>
        <w:t>Local Government Act 1989</w:t>
      </w:r>
      <w:r w:rsidRPr="00C94523">
        <w:rPr>
          <w:rFonts w:ascii="Arial" w:hAnsi="Arial" w:cs="Arial"/>
          <w:i/>
          <w:sz w:val="20"/>
        </w:rPr>
        <w:t xml:space="preserve"> and Councillors</w:t>
      </w:r>
      <w:r w:rsidRPr="00C94523">
        <w:rPr>
          <w:rFonts w:ascii="Arial" w:hAnsi="Arial" w:cs="Arial"/>
          <w:b/>
          <w:i/>
          <w:sz w:val="20"/>
        </w:rPr>
        <w:t xml:space="preserve"> </w:t>
      </w:r>
      <w:r w:rsidRPr="00C94523">
        <w:rPr>
          <w:rFonts w:ascii="Arial" w:hAnsi="Arial" w:cs="Arial"/>
          <w:i/>
          <w:sz w:val="20"/>
        </w:rPr>
        <w:t>and members of Council staff within the meaning of that Act;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(f)</w:t>
      </w:r>
      <w:r w:rsidRPr="00C94523">
        <w:rPr>
          <w:rFonts w:ascii="Arial" w:hAnsi="Arial" w:cs="Arial"/>
          <w:i/>
          <w:sz w:val="20"/>
        </w:rPr>
        <w:tab/>
        <w:t>a Minister;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(g)</w:t>
      </w:r>
      <w:r w:rsidRPr="00C94523">
        <w:rPr>
          <w:rFonts w:ascii="Arial" w:hAnsi="Arial" w:cs="Arial"/>
          <w:i/>
          <w:sz w:val="20"/>
        </w:rPr>
        <w:tab/>
        <w:t>members of a Parliamentary Committee when the Committee is acting in an administrative capacity;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(h)</w:t>
      </w:r>
      <w:r w:rsidRPr="00C94523">
        <w:rPr>
          <w:rFonts w:ascii="Arial" w:hAnsi="Arial" w:cs="Arial"/>
          <w:i/>
          <w:sz w:val="20"/>
        </w:rPr>
        <w:tab/>
        <w:t>an entity declared by the regulations to be a public authority for the purposes of this Charter—</w:t>
      </w:r>
    </w:p>
    <w:p w:rsidR="00C94523" w:rsidRPr="00C94523" w:rsidRDefault="00C94523" w:rsidP="00C94523">
      <w:pPr>
        <w:pStyle w:val="BodySectionSub"/>
        <w:rPr>
          <w:rFonts w:ascii="Arial" w:hAnsi="Arial" w:cs="Arial"/>
          <w:i/>
          <w:sz w:val="20"/>
        </w:rPr>
      </w:pPr>
      <w:r w:rsidRPr="00C94523">
        <w:rPr>
          <w:rFonts w:ascii="Arial" w:hAnsi="Arial" w:cs="Arial"/>
          <w:i/>
          <w:sz w:val="20"/>
        </w:rPr>
        <w:t>but does not include—</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w:t>
      </w:r>
      <w:proofErr w:type="spellStart"/>
      <w:r w:rsidRPr="00C94523">
        <w:rPr>
          <w:rFonts w:ascii="Arial" w:hAnsi="Arial" w:cs="Arial"/>
          <w:i/>
          <w:sz w:val="20"/>
        </w:rPr>
        <w:t>i</w:t>
      </w:r>
      <w:proofErr w:type="spellEnd"/>
      <w:r w:rsidRPr="00C94523">
        <w:rPr>
          <w:rFonts w:ascii="Arial" w:hAnsi="Arial" w:cs="Arial"/>
          <w:i/>
          <w:sz w:val="20"/>
        </w:rPr>
        <w:t>)</w:t>
      </w:r>
      <w:r w:rsidRPr="00C94523">
        <w:rPr>
          <w:rFonts w:ascii="Arial" w:hAnsi="Arial" w:cs="Arial"/>
          <w:i/>
          <w:sz w:val="20"/>
        </w:rPr>
        <w:tab/>
        <w:t>Parliament or a person exercising functions in connection with proceedings in Parliament;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(j)</w:t>
      </w:r>
      <w:r w:rsidRPr="00C94523">
        <w:rPr>
          <w:rFonts w:ascii="Arial" w:hAnsi="Arial" w:cs="Arial"/>
          <w:i/>
          <w:sz w:val="20"/>
        </w:rPr>
        <w:tab/>
        <w:t>a court or tribunal except when it is acting in an administrative capacity; or</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(k)</w:t>
      </w:r>
      <w:r w:rsidRPr="00C94523">
        <w:rPr>
          <w:rFonts w:ascii="Arial" w:hAnsi="Arial" w:cs="Arial"/>
          <w:i/>
          <w:sz w:val="20"/>
        </w:rPr>
        <w:tab/>
        <w:t>an entity declared by the regulations not to be a public authority for the purposes of this Charter.</w:t>
      </w:r>
    </w:p>
    <w:p w:rsidR="00C94523" w:rsidRPr="00C94523" w:rsidRDefault="00C94523" w:rsidP="00C94523">
      <w:pPr>
        <w:pStyle w:val="DraftHeading2"/>
        <w:tabs>
          <w:tab w:val="right" w:pos="1247"/>
        </w:tabs>
        <w:ind w:left="1361" w:hanging="1361"/>
        <w:rPr>
          <w:rFonts w:ascii="Arial" w:hAnsi="Arial" w:cs="Arial"/>
          <w:i/>
          <w:sz w:val="20"/>
        </w:rPr>
      </w:pPr>
      <w:r w:rsidRPr="00C94523">
        <w:rPr>
          <w:rFonts w:ascii="Arial" w:hAnsi="Arial" w:cs="Arial"/>
          <w:i/>
          <w:sz w:val="20"/>
        </w:rPr>
        <w:tab/>
        <w:t>(2)</w:t>
      </w:r>
      <w:r w:rsidRPr="00C94523">
        <w:rPr>
          <w:rFonts w:ascii="Arial" w:hAnsi="Arial" w:cs="Arial"/>
          <w:i/>
          <w:sz w:val="20"/>
        </w:rPr>
        <w:tab/>
        <w:t>In determining if a function is of a public nature the factors that may be taken into account include—</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(a)</w:t>
      </w:r>
      <w:r w:rsidRPr="00C94523">
        <w:rPr>
          <w:rFonts w:ascii="Arial" w:hAnsi="Arial" w:cs="Arial"/>
          <w:i/>
          <w:sz w:val="20"/>
        </w:rPr>
        <w:tab/>
        <w:t xml:space="preserve">that the function is conferred on the entity by or under a statutory provision; </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(b)</w:t>
      </w:r>
      <w:r w:rsidRPr="00C94523">
        <w:rPr>
          <w:rFonts w:ascii="Arial" w:hAnsi="Arial" w:cs="Arial"/>
          <w:i/>
          <w:sz w:val="20"/>
        </w:rPr>
        <w:tab/>
        <w:t>that the function is connected to or generally identified with functions of government;</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(c)</w:t>
      </w:r>
      <w:r w:rsidRPr="00C94523">
        <w:rPr>
          <w:rFonts w:ascii="Arial" w:hAnsi="Arial" w:cs="Arial"/>
          <w:i/>
          <w:sz w:val="20"/>
        </w:rPr>
        <w:tab/>
        <w:t>that the function is of a regulatory nature;</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(d)</w:t>
      </w:r>
      <w:r w:rsidRPr="00C94523">
        <w:rPr>
          <w:rFonts w:ascii="Arial" w:hAnsi="Arial" w:cs="Arial"/>
          <w:i/>
          <w:sz w:val="20"/>
        </w:rPr>
        <w:tab/>
        <w:t>that the entity is publicly funded to perform the function;</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(e)</w:t>
      </w:r>
      <w:r w:rsidRPr="00C94523">
        <w:rPr>
          <w:rFonts w:ascii="Arial" w:hAnsi="Arial" w:cs="Arial"/>
          <w:i/>
          <w:sz w:val="20"/>
        </w:rPr>
        <w:tab/>
        <w:t>that the entity that performs the function is a company (within the meaning of the Corporations Act) all of the shares in which are held by or on behalf of the State.</w:t>
      </w:r>
    </w:p>
    <w:p w:rsidR="00C94523" w:rsidRPr="00C94523" w:rsidRDefault="00C94523" w:rsidP="00C94523">
      <w:pPr>
        <w:pStyle w:val="DraftHeading2"/>
        <w:tabs>
          <w:tab w:val="right" w:pos="1247"/>
        </w:tabs>
        <w:ind w:left="1361" w:hanging="1361"/>
        <w:rPr>
          <w:rFonts w:ascii="Arial" w:hAnsi="Arial" w:cs="Arial"/>
          <w:i/>
          <w:sz w:val="20"/>
        </w:rPr>
      </w:pPr>
      <w:r w:rsidRPr="00C94523">
        <w:rPr>
          <w:rFonts w:ascii="Arial" w:hAnsi="Arial" w:cs="Arial"/>
          <w:i/>
          <w:sz w:val="20"/>
        </w:rPr>
        <w:tab/>
        <w:t>(3)</w:t>
      </w:r>
      <w:r w:rsidRPr="00C94523">
        <w:rPr>
          <w:rFonts w:ascii="Arial" w:hAnsi="Arial" w:cs="Arial"/>
          <w:i/>
          <w:sz w:val="20"/>
        </w:rPr>
        <w:tab/>
        <w:t>To avoid doubt—</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(a)</w:t>
      </w:r>
      <w:r w:rsidRPr="00C94523">
        <w:rPr>
          <w:rFonts w:ascii="Arial" w:hAnsi="Arial" w:cs="Arial"/>
          <w:i/>
          <w:sz w:val="20"/>
        </w:rPr>
        <w:tab/>
        <w:t>the factors listed in subsection (2) are not exhaustive of the factors that may be taken into account in determining if a function is of a public nature; and</w:t>
      </w:r>
    </w:p>
    <w:p w:rsidR="00C94523" w:rsidRPr="00C94523" w:rsidRDefault="00C94523" w:rsidP="00C94523">
      <w:pPr>
        <w:pStyle w:val="DraftHeading3"/>
        <w:tabs>
          <w:tab w:val="right" w:pos="1757"/>
        </w:tabs>
        <w:ind w:left="1871" w:hanging="1871"/>
        <w:rPr>
          <w:rFonts w:ascii="Arial" w:hAnsi="Arial" w:cs="Arial"/>
          <w:i/>
          <w:sz w:val="20"/>
        </w:rPr>
      </w:pPr>
      <w:r w:rsidRPr="00C94523">
        <w:rPr>
          <w:rFonts w:ascii="Arial" w:hAnsi="Arial" w:cs="Arial"/>
          <w:i/>
          <w:sz w:val="20"/>
        </w:rPr>
        <w:tab/>
        <w:t>(b)</w:t>
      </w:r>
      <w:r w:rsidRPr="00C94523">
        <w:rPr>
          <w:rFonts w:ascii="Arial" w:hAnsi="Arial" w:cs="Arial"/>
          <w:i/>
          <w:sz w:val="20"/>
        </w:rPr>
        <w:tab/>
        <w:t>the fact that one or more of the factors set out in subsection (2) are present in relation to a function does not necessarily result in the function being of a public nature.</w:t>
      </w:r>
    </w:p>
    <w:p w:rsidR="00C94523" w:rsidRPr="00C94523" w:rsidRDefault="00C94523" w:rsidP="00C94523">
      <w:pPr>
        <w:pStyle w:val="DraftHeading2"/>
        <w:tabs>
          <w:tab w:val="right" w:pos="1247"/>
        </w:tabs>
        <w:ind w:left="1361" w:hanging="1361"/>
        <w:rPr>
          <w:rFonts w:ascii="Arial" w:hAnsi="Arial" w:cs="Arial"/>
          <w:i/>
          <w:sz w:val="20"/>
        </w:rPr>
      </w:pPr>
      <w:r w:rsidRPr="00C94523">
        <w:rPr>
          <w:rFonts w:ascii="Arial" w:hAnsi="Arial" w:cs="Arial"/>
          <w:i/>
          <w:sz w:val="20"/>
        </w:rPr>
        <w:tab/>
        <w:t>(4)</w:t>
      </w:r>
      <w:r w:rsidRPr="00C94523">
        <w:rPr>
          <w:rFonts w:ascii="Arial" w:hAnsi="Arial" w:cs="Arial"/>
          <w:i/>
          <w:sz w:val="20"/>
        </w:rPr>
        <w:tab/>
        <w:t>For the purposes of subsection (1)(c), an entity may be acting on behalf of the State or a public authority even if there is no agency relationship between the entity and the State or public authority.</w:t>
      </w:r>
    </w:p>
    <w:p w:rsidR="00C94523" w:rsidRDefault="00C94523" w:rsidP="00C94523">
      <w:pPr>
        <w:pStyle w:val="DraftHeading2"/>
        <w:tabs>
          <w:tab w:val="right" w:pos="1247"/>
        </w:tabs>
        <w:ind w:left="1361" w:hanging="1361"/>
        <w:rPr>
          <w:rFonts w:ascii="Arial" w:hAnsi="Arial" w:cs="Arial"/>
          <w:i/>
          <w:sz w:val="20"/>
        </w:rPr>
      </w:pPr>
      <w:r w:rsidRPr="00C94523">
        <w:rPr>
          <w:rFonts w:ascii="Arial" w:hAnsi="Arial" w:cs="Arial"/>
          <w:i/>
          <w:sz w:val="20"/>
        </w:rPr>
        <w:tab/>
        <w:t>(5)</w:t>
      </w:r>
      <w:r w:rsidRPr="00C94523">
        <w:rPr>
          <w:rFonts w:ascii="Arial" w:hAnsi="Arial" w:cs="Arial"/>
          <w:i/>
          <w:sz w:val="20"/>
        </w:rPr>
        <w:tab/>
        <w:t>For the purposes of subsection (1)(c), the fact that an entity is publicly funded to perform a function does not necessarily mean that it is exercising that function on behalf of the State or a public authority.</w:t>
      </w:r>
    </w:p>
    <w:p w:rsidR="00C94523" w:rsidRDefault="00165DD4" w:rsidP="008953CC">
      <w:pPr>
        <w:pStyle w:val="NormalIndent"/>
      </w:pPr>
      <w:r>
        <w:t>T</w:t>
      </w:r>
      <w:r w:rsidR="00C94523" w:rsidRPr="006D59B0">
        <w:t xml:space="preserve">he Victorian </w:t>
      </w:r>
      <w:r w:rsidR="00C94523">
        <w:rPr>
          <w:iCs/>
        </w:rPr>
        <w:t>Charter</w:t>
      </w:r>
      <w:r w:rsidR="00C94523" w:rsidRPr="006D59B0">
        <w:rPr>
          <w:i/>
          <w:iCs/>
        </w:rPr>
        <w:t xml:space="preserve"> </w:t>
      </w:r>
      <w:r w:rsidR="00C94523">
        <w:t xml:space="preserve">provides </w:t>
      </w:r>
      <w:r w:rsidR="00C94523" w:rsidRPr="006D59B0">
        <w:t xml:space="preserve">greater specificity in its definition of ‘public authority’ and also gives </w:t>
      </w:r>
      <w:r w:rsidR="000D6E24">
        <w:t xml:space="preserve">greater </w:t>
      </w:r>
      <w:r w:rsidR="00C94523">
        <w:t xml:space="preserve">guidance in the construction of </w:t>
      </w:r>
      <w:r w:rsidR="00C94523" w:rsidRPr="006D59B0">
        <w:t>that definition.</w:t>
      </w:r>
    </w:p>
    <w:p w:rsidR="00F57705" w:rsidRDefault="00F57705" w:rsidP="00F57705">
      <w:pPr>
        <w:ind w:left="720"/>
      </w:pPr>
      <w:r>
        <w:t>T</w:t>
      </w:r>
      <w:r w:rsidR="00C94523">
        <w:t xml:space="preserve">he Charter </w:t>
      </w:r>
      <w:r>
        <w:t xml:space="preserve">also </w:t>
      </w:r>
      <w:r w:rsidR="00C94523" w:rsidRPr="006D59B0">
        <w:t>applies a modified version of the United Kingdom</w:t>
      </w:r>
      <w:r w:rsidR="00C94523">
        <w:t xml:space="preserve"> </w:t>
      </w:r>
      <w:r w:rsidR="00C94523" w:rsidRPr="006D59B0">
        <w:t>‘function test’ to the determination of whether an entity is a ‘public authority’: s 4(1)(c).</w:t>
      </w:r>
      <w:r w:rsidR="00C94523">
        <w:t xml:space="preserve"> </w:t>
      </w:r>
      <w:r w:rsidR="000D6E24">
        <w:t>To date t</w:t>
      </w:r>
      <w:r>
        <w:t>here has been insufficient judicial consideration to determine whether the modified version is more effective, however i</w:t>
      </w:r>
      <w:r w:rsidRPr="00F57705">
        <w:t xml:space="preserve">t is possible that the absence of discussion is a consequence of a well-drafted provision. </w:t>
      </w:r>
    </w:p>
    <w:p w:rsidR="0096105E" w:rsidRDefault="00165DD4" w:rsidP="00F57705">
      <w:pPr>
        <w:ind w:left="720"/>
      </w:pPr>
      <w:r>
        <w:t>T</w:t>
      </w:r>
      <w:r w:rsidR="0096105E" w:rsidRPr="0096105E">
        <w:t>he Human Rights Law Resource Centre argued in its submi</w:t>
      </w:r>
      <w:r w:rsidR="0096105E">
        <w:t xml:space="preserve">ssion to the Institute that the </w:t>
      </w:r>
      <w:r w:rsidR="0096105E" w:rsidRPr="0096105E">
        <w:t>approach taken in Victoria could be improved upon by identifying by way of a</w:t>
      </w:r>
      <w:r w:rsidR="0096105E">
        <w:t xml:space="preserve"> </w:t>
      </w:r>
      <w:r w:rsidR="0096105E" w:rsidRPr="0096105E">
        <w:t>non-exhaustive list, the functions considered to be ‘of a public nature’.</w:t>
      </w:r>
      <w:r w:rsidR="00985161">
        <w:rPr>
          <w:rStyle w:val="FootnoteReference"/>
        </w:rPr>
        <w:footnoteReference w:id="3"/>
      </w:r>
      <w:r w:rsidR="0096105E">
        <w:t xml:space="preserve"> This approach has been adopted in the ACT (discussed below). </w:t>
      </w:r>
    </w:p>
    <w:p w:rsidR="00116226" w:rsidRDefault="00116226" w:rsidP="00116226">
      <w:pPr>
        <w:pStyle w:val="AllensHeading2"/>
        <w:rPr>
          <w:lang w:eastAsia="en-US"/>
        </w:rPr>
      </w:pPr>
      <w:r>
        <w:rPr>
          <w:lang w:eastAsia="en-US"/>
        </w:rPr>
        <w:t>ACT position</w:t>
      </w:r>
    </w:p>
    <w:p w:rsidR="00116226" w:rsidRDefault="00731EE8" w:rsidP="00116226">
      <w:pPr>
        <w:pStyle w:val="NormalIndent"/>
        <w:rPr>
          <w:lang w:eastAsia="en-US"/>
        </w:rPr>
      </w:pPr>
      <w:r>
        <w:rPr>
          <w:lang w:eastAsia="en-US"/>
        </w:rPr>
        <w:t>The application of the</w:t>
      </w:r>
      <w:r w:rsidR="0096105E">
        <w:rPr>
          <w:lang w:eastAsia="en-US"/>
        </w:rPr>
        <w:t xml:space="preserve"> </w:t>
      </w:r>
      <w:r w:rsidR="0096105E">
        <w:rPr>
          <w:i/>
          <w:lang w:eastAsia="en-US"/>
        </w:rPr>
        <w:t xml:space="preserve">Human Rights Act 2004 </w:t>
      </w:r>
      <w:r w:rsidR="0096105E">
        <w:rPr>
          <w:lang w:eastAsia="en-US"/>
        </w:rPr>
        <w:t xml:space="preserve">(ACT) </w:t>
      </w:r>
      <w:r>
        <w:rPr>
          <w:lang w:eastAsia="en-US"/>
        </w:rPr>
        <w:t xml:space="preserve">is not materially different to that of the Victorian Charter, </w:t>
      </w:r>
      <w:r w:rsidR="00512342">
        <w:rPr>
          <w:lang w:eastAsia="en-US"/>
        </w:rPr>
        <w:t>except that</w:t>
      </w:r>
      <w:r>
        <w:rPr>
          <w:lang w:eastAsia="en-US"/>
        </w:rPr>
        <w:t xml:space="preserve"> it includes the following </w:t>
      </w:r>
      <w:r w:rsidR="000D6E24" w:rsidRPr="000D6E24">
        <w:rPr>
          <w:lang w:eastAsia="en-US"/>
        </w:rPr>
        <w:t>deeming provision in respect of certain functions</w:t>
      </w:r>
      <w:r w:rsidR="000D6E24">
        <w:rPr>
          <w:lang w:eastAsia="en-US"/>
        </w:rPr>
        <w:t xml:space="preserve"> </w:t>
      </w:r>
      <w:r>
        <w:rPr>
          <w:lang w:eastAsia="en-US"/>
        </w:rPr>
        <w:t>in section 40B(3)</w:t>
      </w:r>
      <w:r w:rsidR="0096105E">
        <w:rPr>
          <w:lang w:eastAsia="en-US"/>
        </w:rPr>
        <w:t>:</w:t>
      </w:r>
    </w:p>
    <w:p w:rsidR="0096105E" w:rsidRPr="00B86D41" w:rsidRDefault="0096105E" w:rsidP="00731EE8">
      <w:pPr>
        <w:ind w:left="705"/>
        <w:rPr>
          <w:i/>
          <w:lang w:eastAsia="en-US"/>
        </w:rPr>
      </w:pPr>
      <w:r w:rsidRPr="00B86D41">
        <w:rPr>
          <w:i/>
          <w:lang w:eastAsia="en-US"/>
        </w:rPr>
        <w:t xml:space="preserve">(3)     Without limiting subsection (1) or (2), the following functions are taken to be of a public nature: </w:t>
      </w:r>
    </w:p>
    <w:p w:rsidR="0096105E" w:rsidRPr="00B86D41" w:rsidRDefault="0096105E" w:rsidP="0096105E">
      <w:pPr>
        <w:rPr>
          <w:i/>
          <w:lang w:eastAsia="en-US"/>
        </w:rPr>
      </w:pPr>
      <w:r w:rsidRPr="00B86D41">
        <w:rPr>
          <w:i/>
          <w:lang w:eastAsia="en-US"/>
        </w:rPr>
        <w:t>       </w:t>
      </w:r>
      <w:r w:rsidR="00B86D41" w:rsidRPr="00B86D41">
        <w:rPr>
          <w:i/>
          <w:lang w:eastAsia="en-US"/>
        </w:rPr>
        <w:tab/>
      </w:r>
      <w:r w:rsidRPr="00B86D41">
        <w:rPr>
          <w:i/>
          <w:lang w:eastAsia="en-US"/>
        </w:rPr>
        <w:t xml:space="preserve"> (a)     the operation of detention places and correctional centres; </w:t>
      </w:r>
    </w:p>
    <w:p w:rsidR="0096105E" w:rsidRPr="00B86D41" w:rsidRDefault="0096105E" w:rsidP="0096105E">
      <w:pPr>
        <w:rPr>
          <w:i/>
          <w:lang w:eastAsia="en-US"/>
        </w:rPr>
      </w:pPr>
      <w:r w:rsidRPr="00B86D41">
        <w:rPr>
          <w:i/>
          <w:lang w:eastAsia="en-US"/>
        </w:rPr>
        <w:t>       </w:t>
      </w:r>
      <w:r w:rsidR="00B86D41" w:rsidRPr="00B86D41">
        <w:rPr>
          <w:i/>
          <w:lang w:eastAsia="en-US"/>
        </w:rPr>
        <w:tab/>
      </w:r>
      <w:r w:rsidRPr="00B86D41">
        <w:rPr>
          <w:i/>
          <w:lang w:eastAsia="en-US"/>
        </w:rPr>
        <w:t xml:space="preserve"> (b)     the provision of any of the following services: </w:t>
      </w:r>
    </w:p>
    <w:p w:rsidR="0096105E" w:rsidRPr="00D20ED6" w:rsidRDefault="0096105E" w:rsidP="00D20ED6">
      <w:pPr>
        <w:pStyle w:val="AllensHeading4"/>
        <w:rPr>
          <w:i/>
          <w:lang w:eastAsia="en-US"/>
        </w:rPr>
      </w:pPr>
      <w:r w:rsidRPr="00D20ED6">
        <w:rPr>
          <w:i/>
          <w:lang w:eastAsia="en-US"/>
        </w:rPr>
        <w:t xml:space="preserve">gas, electricity and water supply; </w:t>
      </w:r>
    </w:p>
    <w:p w:rsidR="0096105E" w:rsidRPr="00D20ED6" w:rsidRDefault="0096105E" w:rsidP="00D20ED6">
      <w:pPr>
        <w:pStyle w:val="AllensHeading4"/>
        <w:rPr>
          <w:i/>
          <w:lang w:eastAsia="en-US"/>
        </w:rPr>
      </w:pPr>
      <w:r w:rsidRPr="00D20ED6">
        <w:rPr>
          <w:i/>
          <w:lang w:eastAsia="en-US"/>
        </w:rPr>
        <w:t xml:space="preserve">emergency services; </w:t>
      </w:r>
    </w:p>
    <w:p w:rsidR="0096105E" w:rsidRPr="00D20ED6" w:rsidRDefault="0096105E" w:rsidP="00D20ED6">
      <w:pPr>
        <w:pStyle w:val="AllensHeading4"/>
        <w:rPr>
          <w:i/>
          <w:lang w:eastAsia="en-US"/>
        </w:rPr>
      </w:pPr>
      <w:r w:rsidRPr="00D20ED6">
        <w:rPr>
          <w:i/>
          <w:lang w:eastAsia="en-US"/>
        </w:rPr>
        <w:t xml:space="preserve">public health services; </w:t>
      </w:r>
    </w:p>
    <w:p w:rsidR="0096105E" w:rsidRPr="00D20ED6" w:rsidRDefault="0096105E" w:rsidP="00D20ED6">
      <w:pPr>
        <w:pStyle w:val="AllensHeading4"/>
        <w:rPr>
          <w:i/>
          <w:lang w:eastAsia="en-US"/>
        </w:rPr>
      </w:pPr>
      <w:r w:rsidRPr="00D20ED6">
        <w:rPr>
          <w:i/>
          <w:lang w:eastAsia="en-US"/>
        </w:rPr>
        <w:t xml:space="preserve">public education; </w:t>
      </w:r>
    </w:p>
    <w:p w:rsidR="0096105E" w:rsidRPr="00D20ED6" w:rsidRDefault="0096105E" w:rsidP="00D20ED6">
      <w:pPr>
        <w:pStyle w:val="AllensHeading4"/>
        <w:rPr>
          <w:i/>
          <w:lang w:eastAsia="en-US"/>
        </w:rPr>
      </w:pPr>
      <w:r w:rsidRPr="00D20ED6">
        <w:rPr>
          <w:i/>
          <w:lang w:eastAsia="en-US"/>
        </w:rPr>
        <w:t xml:space="preserve">public transport; </w:t>
      </w:r>
    </w:p>
    <w:p w:rsidR="00F57705" w:rsidRPr="00D20ED6" w:rsidRDefault="0096105E" w:rsidP="00D20ED6">
      <w:pPr>
        <w:pStyle w:val="AllensHeading4"/>
        <w:rPr>
          <w:i/>
          <w:lang w:eastAsia="en-US"/>
        </w:rPr>
      </w:pPr>
      <w:r w:rsidRPr="00D20ED6">
        <w:rPr>
          <w:i/>
          <w:lang w:eastAsia="en-US"/>
        </w:rPr>
        <w:t xml:space="preserve">public housing. </w:t>
      </w:r>
    </w:p>
    <w:p w:rsidR="00F57705" w:rsidRDefault="00F57705" w:rsidP="009F18C8">
      <w:pPr>
        <w:ind w:left="705"/>
      </w:pPr>
      <w:r>
        <w:t xml:space="preserve">Its modified function test </w:t>
      </w:r>
      <w:r w:rsidR="009F18C8">
        <w:t>has also not yet been the subject of any substantive judicial consideration.</w:t>
      </w:r>
    </w:p>
    <w:p w:rsidR="0096105E" w:rsidRDefault="00CD73D6" w:rsidP="00CD73D6">
      <w:pPr>
        <w:pStyle w:val="AllensHeading2"/>
        <w:rPr>
          <w:lang w:eastAsia="en-US"/>
        </w:rPr>
      </w:pPr>
      <w:r>
        <w:rPr>
          <w:lang w:eastAsia="en-US"/>
        </w:rPr>
        <w:t>Application to Courts</w:t>
      </w:r>
    </w:p>
    <w:p w:rsidR="00CA56C6" w:rsidRPr="00165DD4" w:rsidRDefault="00CD73D6" w:rsidP="00F36879">
      <w:pPr>
        <w:ind w:left="709"/>
      </w:pPr>
      <w:r>
        <w:t>Both the Victorian and ACT charters</w:t>
      </w:r>
      <w:r w:rsidRPr="00B86D41">
        <w:rPr>
          <w:i/>
          <w:iCs/>
        </w:rPr>
        <w:t xml:space="preserve"> </w:t>
      </w:r>
      <w:r>
        <w:t xml:space="preserve">differ from </w:t>
      </w:r>
      <w:r w:rsidRPr="00C22687">
        <w:t>most other modern human rights instruments</w:t>
      </w:r>
      <w:r w:rsidR="00C22687">
        <w:rPr>
          <w:rStyle w:val="FootnoteReference"/>
        </w:rPr>
        <w:footnoteReference w:id="4"/>
      </w:r>
      <w:r w:rsidR="00C22687">
        <w:t xml:space="preserve"> </w:t>
      </w:r>
      <w:r w:rsidRPr="00B86D41">
        <w:t xml:space="preserve">in excluding the courts from </w:t>
      </w:r>
      <w:r>
        <w:t>their</w:t>
      </w:r>
      <w:r w:rsidRPr="00B86D41">
        <w:t xml:space="preserve"> definition</w:t>
      </w:r>
      <w:r>
        <w:t>s</w:t>
      </w:r>
      <w:r w:rsidRPr="00B86D41">
        <w:t xml:space="preserve"> of ‘public authority’</w:t>
      </w:r>
      <w:r w:rsidR="008953CC">
        <w:t>,</w:t>
      </w:r>
      <w:r w:rsidRPr="00B86D41">
        <w:t xml:space="preserve"> except when</w:t>
      </w:r>
      <w:r>
        <w:t xml:space="preserve"> </w:t>
      </w:r>
      <w:r w:rsidRPr="00B86D41">
        <w:t>the</w:t>
      </w:r>
      <w:r>
        <w:t xml:space="preserve">y are performing administrative </w:t>
      </w:r>
      <w:r w:rsidRPr="00B86D41">
        <w:t>functions.</w:t>
      </w:r>
      <w:r>
        <w:t xml:space="preserve"> This appears to be on the back of the view </w:t>
      </w:r>
      <w:r w:rsidRPr="0050606E">
        <w:t xml:space="preserve">that </w:t>
      </w:r>
      <w:r w:rsidR="00202A85" w:rsidRPr="00202A85">
        <w:t>it may be unconstituti</w:t>
      </w:r>
      <w:r w:rsidR="00202A85">
        <w:t xml:space="preserve">onal for a State legislature to </w:t>
      </w:r>
      <w:r w:rsidR="00202A85" w:rsidRPr="00202A85">
        <w:t>require courts to apply a State Charter of Rights when adjudicating common law causes of action</w:t>
      </w:r>
      <w:r w:rsidR="00D134DF">
        <w:t>.</w:t>
      </w:r>
      <w:r w:rsidR="00202A85">
        <w:rPr>
          <w:rStyle w:val="FootnoteReference"/>
        </w:rPr>
        <w:footnoteReference w:id="5"/>
      </w:r>
      <w:r w:rsidR="00D134DF">
        <w:t xml:space="preserve"> </w:t>
      </w:r>
      <w:r w:rsidR="00F36879">
        <w:t xml:space="preserve">There is </w:t>
      </w:r>
      <w:r w:rsidR="00A3655A">
        <w:t>continuing</w:t>
      </w:r>
      <w:r w:rsidR="00F36879">
        <w:t xml:space="preserve"> support for this view</w:t>
      </w:r>
      <w:r w:rsidR="00BE6CDB" w:rsidRPr="00165DD4">
        <w:t>.</w:t>
      </w:r>
      <w:r w:rsidR="00CA56C6" w:rsidRPr="00165DD4">
        <w:rPr>
          <w:rStyle w:val="FootnoteReference"/>
        </w:rPr>
        <w:footnoteReference w:id="6"/>
      </w:r>
    </w:p>
    <w:p w:rsidR="00D20ED6" w:rsidRDefault="000D6E24" w:rsidP="00D20ED6">
      <w:pPr>
        <w:ind w:left="705"/>
      </w:pPr>
      <w:r>
        <w:t>We recommend that t</w:t>
      </w:r>
      <w:r w:rsidR="00B2504B" w:rsidRPr="00165DD4">
        <w:t>he Queensland C</w:t>
      </w:r>
      <w:r w:rsidR="00CA56C6" w:rsidRPr="00165DD4">
        <w:t xml:space="preserve">harter adopt the </w:t>
      </w:r>
      <w:r w:rsidR="00931D0B" w:rsidRPr="00165DD4">
        <w:t>approach taken in Victoria</w:t>
      </w:r>
      <w:r w:rsidR="00D134DF">
        <w:t xml:space="preserve"> and the ACT</w:t>
      </w:r>
      <w:r w:rsidR="00931D0B" w:rsidRPr="00165DD4">
        <w:t>. C</w:t>
      </w:r>
      <w:r w:rsidR="00CA56C6" w:rsidRPr="00165DD4">
        <w:t xml:space="preserve">ourts and tribunals should be classed as public authorities only when they are acting in their administrative capacity. </w:t>
      </w:r>
      <w:r w:rsidR="00165DD4">
        <w:t>Further, given that it can often be complex to distinguish between administrative</w:t>
      </w:r>
      <w:r w:rsidR="00F36879">
        <w:t xml:space="preserve"> and</w:t>
      </w:r>
      <w:r w:rsidR="00165DD4">
        <w:t xml:space="preserve"> judicial function</w:t>
      </w:r>
      <w:r w:rsidR="00F36879">
        <w:t>s</w:t>
      </w:r>
      <w:r w:rsidR="00165DD4">
        <w:t>,</w:t>
      </w:r>
      <w:r w:rsidR="00931D0B" w:rsidRPr="00165DD4">
        <w:t xml:space="preserve"> a note to the sec</w:t>
      </w:r>
      <w:r w:rsidR="00C40EEE" w:rsidRPr="00165DD4">
        <w:t xml:space="preserve">tion </w:t>
      </w:r>
      <w:r w:rsidR="00F36879">
        <w:t>should be inserted setting</w:t>
      </w:r>
      <w:r w:rsidR="00C40EEE" w:rsidRPr="00165DD4">
        <w:t xml:space="preserve"> out </w:t>
      </w:r>
      <w:r w:rsidR="00A3655A">
        <w:t xml:space="preserve">a non-exhaustive list of </w:t>
      </w:r>
      <w:r w:rsidR="00C40EEE" w:rsidRPr="00165DD4">
        <w:t>when a court or tribunal is acting in an administrative capacity</w:t>
      </w:r>
      <w:r w:rsidR="00F36879">
        <w:t>.</w:t>
      </w:r>
      <w:r w:rsidR="00C40EEE">
        <w:t xml:space="preserve"> </w:t>
      </w:r>
    </w:p>
    <w:p w:rsidR="009236F1" w:rsidRDefault="00D20ED6" w:rsidP="00D20ED6">
      <w:pPr>
        <w:ind w:left="705"/>
        <w:rPr>
          <w:b/>
          <w:i/>
          <w:highlight w:val="yellow"/>
        </w:rPr>
      </w:pPr>
      <w:r w:rsidRPr="00D20ED6">
        <w:rPr>
          <w:highlight w:val="yellow"/>
        </w:rPr>
        <w:t>[</w:t>
      </w:r>
      <w:r w:rsidRPr="00D20ED6">
        <w:rPr>
          <w:b/>
          <w:highlight w:val="yellow"/>
        </w:rPr>
        <w:t xml:space="preserve">Note to QAILS: </w:t>
      </w:r>
      <w:r w:rsidRPr="00D20ED6">
        <w:rPr>
          <w:b/>
          <w:i/>
          <w:highlight w:val="yellow"/>
        </w:rPr>
        <w:t xml:space="preserve">please provide your instructions as to whether the </w:t>
      </w:r>
      <w:r>
        <w:rPr>
          <w:b/>
          <w:i/>
          <w:highlight w:val="yellow"/>
        </w:rPr>
        <w:t>C</w:t>
      </w:r>
      <w:r w:rsidRPr="00D20ED6">
        <w:rPr>
          <w:b/>
          <w:i/>
          <w:highlight w:val="yellow"/>
        </w:rPr>
        <w:t xml:space="preserve">harter should </w:t>
      </w:r>
      <w:r>
        <w:rPr>
          <w:b/>
          <w:i/>
          <w:highlight w:val="yellow"/>
        </w:rPr>
        <w:t>extend</w:t>
      </w:r>
      <w:r w:rsidR="009236F1">
        <w:rPr>
          <w:b/>
          <w:i/>
          <w:highlight w:val="yellow"/>
        </w:rPr>
        <w:t>:</w:t>
      </w:r>
    </w:p>
    <w:p w:rsidR="009236F1" w:rsidRDefault="009236F1" w:rsidP="009236F1">
      <w:pPr>
        <w:pStyle w:val="AllensHeading3"/>
        <w:rPr>
          <w:b/>
          <w:i/>
          <w:highlight w:val="yellow"/>
        </w:rPr>
      </w:pPr>
      <w:r>
        <w:rPr>
          <w:b/>
          <w:i/>
          <w:highlight w:val="yellow"/>
        </w:rPr>
        <w:t>Only to government; or</w:t>
      </w:r>
    </w:p>
    <w:p w:rsidR="009236F1" w:rsidRPr="009236F1" w:rsidRDefault="009236F1" w:rsidP="009236F1">
      <w:pPr>
        <w:pStyle w:val="AllensHeading3"/>
        <w:rPr>
          <w:b/>
          <w:i/>
          <w:highlight w:val="yellow"/>
        </w:rPr>
      </w:pPr>
      <w:r>
        <w:rPr>
          <w:b/>
          <w:i/>
          <w:highlight w:val="yellow"/>
        </w:rPr>
        <w:t xml:space="preserve">Both to government and public authorities. </w:t>
      </w:r>
    </w:p>
    <w:p w:rsidR="00D20ED6" w:rsidRDefault="00D20ED6" w:rsidP="00D20ED6">
      <w:pPr>
        <w:ind w:left="705"/>
      </w:pPr>
      <w:r>
        <w:rPr>
          <w:b/>
          <w:i/>
          <w:highlight w:val="yellow"/>
        </w:rPr>
        <w:t>If you think it should</w:t>
      </w:r>
      <w:r w:rsidR="009236F1">
        <w:rPr>
          <w:b/>
          <w:i/>
          <w:highlight w:val="yellow"/>
        </w:rPr>
        <w:t xml:space="preserve"> extend to public authorities</w:t>
      </w:r>
      <w:r>
        <w:rPr>
          <w:b/>
          <w:i/>
          <w:highlight w:val="yellow"/>
        </w:rPr>
        <w:t>, please advise on which</w:t>
      </w:r>
      <w:r w:rsidR="009236F1">
        <w:rPr>
          <w:b/>
          <w:i/>
          <w:highlight w:val="yellow"/>
        </w:rPr>
        <w:t xml:space="preserve"> above</w:t>
      </w:r>
      <w:r>
        <w:rPr>
          <w:b/>
          <w:i/>
          <w:highlight w:val="yellow"/>
        </w:rPr>
        <w:t xml:space="preserve"> definition (or new definition) of public authority you w</w:t>
      </w:r>
      <w:r w:rsidR="009236F1">
        <w:rPr>
          <w:b/>
          <w:i/>
          <w:highlight w:val="yellow"/>
        </w:rPr>
        <w:t xml:space="preserve">ould like </w:t>
      </w:r>
      <w:r>
        <w:rPr>
          <w:b/>
          <w:i/>
          <w:highlight w:val="yellow"/>
        </w:rPr>
        <w:t xml:space="preserve">the </w:t>
      </w:r>
      <w:r w:rsidR="009236F1">
        <w:rPr>
          <w:b/>
          <w:i/>
          <w:highlight w:val="yellow"/>
        </w:rPr>
        <w:t>C</w:t>
      </w:r>
      <w:r>
        <w:rPr>
          <w:b/>
          <w:i/>
          <w:highlight w:val="yellow"/>
        </w:rPr>
        <w:t>harter to adopt</w:t>
      </w:r>
      <w:r w:rsidRPr="00D20ED6">
        <w:rPr>
          <w:highlight w:val="yellow"/>
        </w:rPr>
        <w:t>]</w:t>
      </w:r>
    </w:p>
    <w:p w:rsidR="00D20ED6" w:rsidRPr="00F57705" w:rsidRDefault="00D20ED6" w:rsidP="00D20ED6">
      <w:pPr>
        <w:ind w:left="705"/>
        <w:rPr>
          <w:lang w:eastAsia="en-US"/>
        </w:rPr>
      </w:pPr>
      <w:r w:rsidRPr="00D20ED6">
        <w:rPr>
          <w:highlight w:val="yellow"/>
        </w:rPr>
        <w:t>[</w:t>
      </w:r>
      <w:r w:rsidRPr="00D20ED6">
        <w:rPr>
          <w:b/>
          <w:highlight w:val="yellow"/>
        </w:rPr>
        <w:t xml:space="preserve">Note to QAILS: </w:t>
      </w:r>
      <w:r w:rsidRPr="00D20ED6">
        <w:rPr>
          <w:b/>
          <w:i/>
          <w:highlight w:val="yellow"/>
        </w:rPr>
        <w:t xml:space="preserve">please </w:t>
      </w:r>
      <w:r>
        <w:rPr>
          <w:b/>
          <w:i/>
          <w:highlight w:val="yellow"/>
        </w:rPr>
        <w:t xml:space="preserve">also </w:t>
      </w:r>
      <w:r w:rsidRPr="00D20ED6">
        <w:rPr>
          <w:b/>
          <w:i/>
          <w:highlight w:val="yellow"/>
        </w:rPr>
        <w:t xml:space="preserve">provide your instructions as to whether </w:t>
      </w:r>
      <w:r>
        <w:rPr>
          <w:b/>
          <w:i/>
          <w:highlight w:val="yellow"/>
        </w:rPr>
        <w:t xml:space="preserve">you </w:t>
      </w:r>
      <w:r w:rsidR="009236F1">
        <w:rPr>
          <w:b/>
          <w:i/>
          <w:highlight w:val="yellow"/>
        </w:rPr>
        <w:t>agree with our above recommendation about when Courts and tribunals should be classifie</w:t>
      </w:r>
      <w:r w:rsidR="005654F8">
        <w:rPr>
          <w:b/>
          <w:i/>
          <w:highlight w:val="yellow"/>
        </w:rPr>
        <w:t>d as public authorities</w:t>
      </w:r>
      <w:r w:rsidRPr="00D20ED6">
        <w:rPr>
          <w:highlight w:val="yellow"/>
        </w:rPr>
        <w:t>]</w:t>
      </w:r>
    </w:p>
    <w:p w:rsidR="009C75D4" w:rsidRDefault="000D6E24" w:rsidP="009C75D4">
      <w:pPr>
        <w:pStyle w:val="AllensHeading1"/>
      </w:pPr>
      <w:r>
        <w:t>Application b</w:t>
      </w:r>
      <w:r w:rsidR="009C75D4">
        <w:t xml:space="preserve">eyond Public Authorities </w:t>
      </w:r>
    </w:p>
    <w:p w:rsidR="009C75D4" w:rsidRDefault="009C75D4" w:rsidP="009C75D4">
      <w:pPr>
        <w:pStyle w:val="AllensHeading2"/>
      </w:pPr>
      <w:r>
        <w:t>Application to Queenslanders, corporations and community organisations</w:t>
      </w:r>
    </w:p>
    <w:p w:rsidR="009C75D4" w:rsidRDefault="00DD6CD5" w:rsidP="009C75D4">
      <w:pPr>
        <w:pStyle w:val="NormalIndent"/>
      </w:pPr>
      <w:r>
        <w:t>A number of stakeholders have argued that human rights legislation should extend into the private sphere for the following reasons:</w:t>
      </w:r>
    </w:p>
    <w:p w:rsidR="00DD6CD5" w:rsidRPr="00165DD4" w:rsidRDefault="00DD6CD5" w:rsidP="00DD6CD5">
      <w:pPr>
        <w:pStyle w:val="Bullet2"/>
        <w:rPr>
          <w:rFonts w:cs="Arial"/>
        </w:rPr>
      </w:pPr>
      <w:r w:rsidRPr="00165DD4">
        <w:rPr>
          <w:rFonts w:cs="Arial"/>
        </w:rPr>
        <w:t xml:space="preserve">if </w:t>
      </w:r>
      <w:r w:rsidR="000D6E24">
        <w:rPr>
          <w:rFonts w:cs="Arial"/>
        </w:rPr>
        <w:t xml:space="preserve">human </w:t>
      </w:r>
      <w:r w:rsidRPr="00165DD4">
        <w:rPr>
          <w:rFonts w:cs="Arial"/>
        </w:rPr>
        <w:t>rights are conceived as ‘indivisible’ in nature they cannot be conceived as ‘divisible’ in application;</w:t>
      </w:r>
    </w:p>
    <w:p w:rsidR="00DD6CD5" w:rsidRPr="00165DD4" w:rsidRDefault="00DD6CD5" w:rsidP="00DD6CD5">
      <w:pPr>
        <w:pStyle w:val="Bullet2"/>
        <w:rPr>
          <w:rFonts w:cs="Arial"/>
        </w:rPr>
      </w:pPr>
      <w:r w:rsidRPr="00165DD4">
        <w:rPr>
          <w:rFonts w:cs="Arial"/>
        </w:rPr>
        <w:t>the way in which community organisations are funded as well as the degree to which they work with government social service systems means binding only public authorities under a Charter is impractical;</w:t>
      </w:r>
    </w:p>
    <w:p w:rsidR="00DD6CD5" w:rsidRPr="00165DD4" w:rsidRDefault="00DD6CD5" w:rsidP="00DD6CD5">
      <w:pPr>
        <w:pStyle w:val="Bullet2"/>
        <w:rPr>
          <w:rFonts w:cs="Arial"/>
        </w:rPr>
      </w:pPr>
      <w:r w:rsidRPr="00165DD4">
        <w:rPr>
          <w:rFonts w:cs="Arial"/>
        </w:rPr>
        <w:t>corporations need to be covered by any Charter as they often provide essential services either through their own core business or through government outsourcing;</w:t>
      </w:r>
    </w:p>
    <w:p w:rsidR="00DD6CD5" w:rsidRPr="00165DD4" w:rsidRDefault="00DD6CD5" w:rsidP="00DD6CD5">
      <w:pPr>
        <w:pStyle w:val="Bullet2"/>
        <w:rPr>
          <w:rFonts w:cs="Arial"/>
        </w:rPr>
      </w:pPr>
      <w:r w:rsidRPr="00165DD4">
        <w:rPr>
          <w:rFonts w:cs="Arial"/>
        </w:rPr>
        <w:t>the effect of binding only government but not corporations or community organisations may create perverse incentives for government to shift responsibilities as a means of limiting the application of any Charter; and</w:t>
      </w:r>
    </w:p>
    <w:p w:rsidR="00DD6CD5" w:rsidRPr="00165DD4" w:rsidRDefault="008953CC" w:rsidP="00DD6CD5">
      <w:pPr>
        <w:pStyle w:val="Bullet2"/>
        <w:rPr>
          <w:rFonts w:cs="Arial"/>
        </w:rPr>
      </w:pPr>
      <w:r w:rsidRPr="00165DD4">
        <w:rPr>
          <w:rFonts w:cs="Arial"/>
        </w:rPr>
        <w:t>i</w:t>
      </w:r>
      <w:r w:rsidR="00DD6CD5" w:rsidRPr="00165DD4">
        <w:rPr>
          <w:rFonts w:cs="Arial"/>
        </w:rPr>
        <w:t>f the objective of human rights law is the protection of human dignity, it is logical that remedies be available for violations of human rights whether committed by public or private actors.</w:t>
      </w:r>
      <w:r w:rsidR="00AF4AF5" w:rsidRPr="00165DD4">
        <w:rPr>
          <w:rStyle w:val="FootnoteReference"/>
          <w:rFonts w:cs="Arial"/>
        </w:rPr>
        <w:footnoteReference w:id="7"/>
      </w:r>
    </w:p>
    <w:p w:rsidR="00921683" w:rsidRPr="00DD6CD5" w:rsidRDefault="00921683" w:rsidP="007E06E7">
      <w:pPr>
        <w:pStyle w:val="Bullet2"/>
        <w:numPr>
          <w:ilvl w:val="0"/>
          <w:numId w:val="0"/>
        </w:numPr>
        <w:ind w:left="709"/>
      </w:pPr>
      <w:r w:rsidRPr="00921683">
        <w:t>Precedent for requiring all sectors and members of the community to comply with a Charter</w:t>
      </w:r>
      <w:r>
        <w:t xml:space="preserve"> </w:t>
      </w:r>
      <w:r w:rsidRPr="00921683">
        <w:t xml:space="preserve">of Human Rights is provided by the South African </w:t>
      </w:r>
      <w:r w:rsidRPr="00921683">
        <w:rPr>
          <w:i/>
          <w:iCs/>
        </w:rPr>
        <w:t>Bill of Rights 1996</w:t>
      </w:r>
      <w:r w:rsidRPr="00921683">
        <w:t>. However, in requiring such</w:t>
      </w:r>
      <w:r>
        <w:t xml:space="preserve"> </w:t>
      </w:r>
      <w:r w:rsidRPr="00921683">
        <w:t xml:space="preserve">compliance, the </w:t>
      </w:r>
      <w:r w:rsidR="00165DD4" w:rsidRPr="00165DD4">
        <w:t xml:space="preserve">South African </w:t>
      </w:r>
      <w:r w:rsidR="00165DD4" w:rsidRPr="00165DD4">
        <w:rPr>
          <w:i/>
          <w:iCs/>
        </w:rPr>
        <w:t>Bill of Rights 1996</w:t>
      </w:r>
      <w:r w:rsidR="00165DD4">
        <w:rPr>
          <w:i/>
          <w:iCs/>
        </w:rPr>
        <w:t xml:space="preserve"> </w:t>
      </w:r>
      <w:r w:rsidRPr="00921683">
        <w:t>draws a distinction between organs of state and other</w:t>
      </w:r>
      <w:r>
        <w:t xml:space="preserve"> </w:t>
      </w:r>
      <w:r w:rsidRPr="00921683">
        <w:t>entities including individuals and corporations. In respect of individuals and corporations, provisions</w:t>
      </w:r>
      <w:r>
        <w:t xml:space="preserve"> </w:t>
      </w:r>
      <w:r w:rsidRPr="00921683">
        <w:t>in the Bill only apply to the extent that they logically can do so taking into account the nature of the</w:t>
      </w:r>
      <w:r>
        <w:t xml:space="preserve"> </w:t>
      </w:r>
      <w:r w:rsidRPr="00921683">
        <w:t>rights they contain and the nature of any duties they impose.</w:t>
      </w:r>
      <w:r w:rsidR="00A2184B">
        <w:rPr>
          <w:rStyle w:val="FootnoteReference"/>
        </w:rPr>
        <w:footnoteReference w:id="8"/>
      </w:r>
    </w:p>
    <w:p w:rsidR="00DD6CD5" w:rsidRDefault="00512342" w:rsidP="007E06E7">
      <w:r>
        <w:tab/>
        <w:t>O</w:t>
      </w:r>
      <w:r w:rsidR="007E06E7">
        <w:t>thers have raised the following objections</w:t>
      </w:r>
      <w:r w:rsidR="008953CC">
        <w:t xml:space="preserve"> to </w:t>
      </w:r>
      <w:r w:rsidR="00AF4AF5">
        <w:t>such a</w:t>
      </w:r>
      <w:r w:rsidR="008953CC">
        <w:t xml:space="preserve"> breadth of application</w:t>
      </w:r>
      <w:r w:rsidR="007E06E7">
        <w:t>:</w:t>
      </w:r>
    </w:p>
    <w:p w:rsidR="007E06E7" w:rsidRDefault="00F806CC" w:rsidP="007E06E7">
      <w:pPr>
        <w:pStyle w:val="Bullet2"/>
      </w:pPr>
      <w:r>
        <w:t>a</w:t>
      </w:r>
      <w:r w:rsidR="007E06E7">
        <w:t xml:space="preserve"> Charter binding only the Government still has reach into the private sphere;</w:t>
      </w:r>
      <w:r w:rsidR="00C51141">
        <w:rPr>
          <w:rStyle w:val="FootnoteReference"/>
        </w:rPr>
        <w:footnoteReference w:id="9"/>
      </w:r>
      <w:r w:rsidR="007E06E7">
        <w:t xml:space="preserve"> and</w:t>
      </w:r>
    </w:p>
    <w:p w:rsidR="007E06E7" w:rsidRDefault="00F806CC" w:rsidP="007E06E7">
      <w:pPr>
        <w:pStyle w:val="Bullet2"/>
      </w:pPr>
      <w:r>
        <w:t>t</w:t>
      </w:r>
      <w:r w:rsidR="007E06E7" w:rsidRPr="007E06E7">
        <w:t xml:space="preserve">o extend the reach of a Charter beyond </w:t>
      </w:r>
      <w:r w:rsidR="007E06E7">
        <w:t>the</w:t>
      </w:r>
      <w:r w:rsidR="007E06E7" w:rsidRPr="007E06E7">
        <w:t xml:space="preserve"> </w:t>
      </w:r>
      <w:r w:rsidR="007E06E7">
        <w:t>public sphere</w:t>
      </w:r>
      <w:r w:rsidR="007E06E7" w:rsidRPr="007E06E7">
        <w:t xml:space="preserve"> from the outset would have extensive educational, resource and enforcement implications, which may render it unacceptable and its implementation unfeasible for the Government.</w:t>
      </w:r>
      <w:r w:rsidR="00A2184B">
        <w:rPr>
          <w:rStyle w:val="FootnoteReference"/>
        </w:rPr>
        <w:footnoteReference w:id="10"/>
      </w:r>
    </w:p>
    <w:p w:rsidR="007E06E7" w:rsidRDefault="00AF4AF5" w:rsidP="007E06E7">
      <w:pPr>
        <w:pStyle w:val="Bullet2"/>
        <w:numPr>
          <w:ilvl w:val="0"/>
          <w:numId w:val="0"/>
        </w:numPr>
        <w:ind w:left="709"/>
      </w:pPr>
      <w:r>
        <w:t>However</w:t>
      </w:r>
      <w:r w:rsidR="007E06E7">
        <w:t xml:space="preserve">, the Charter does not necessarily need to remain static in this regard. </w:t>
      </w:r>
      <w:r w:rsidR="008953CC">
        <w:t xml:space="preserve">If the Charter commenced operation as applicable only to </w:t>
      </w:r>
      <w:r>
        <w:t>'</w:t>
      </w:r>
      <w:r w:rsidR="008953CC">
        <w:t>public authorities</w:t>
      </w:r>
      <w:r>
        <w:t>'</w:t>
      </w:r>
      <w:r w:rsidR="008953CC">
        <w:t xml:space="preserve"> (however defined), the</w:t>
      </w:r>
      <w:r w:rsidR="007E06E7">
        <w:t xml:space="preserve"> issue </w:t>
      </w:r>
      <w:r w:rsidR="008953CC">
        <w:t xml:space="preserve">of application </w:t>
      </w:r>
      <w:r w:rsidR="007E06E7">
        <w:t xml:space="preserve">could be revisited during reviews of the Charter and the question </w:t>
      </w:r>
      <w:r w:rsidR="00D75AA2">
        <w:t>may</w:t>
      </w:r>
      <w:r w:rsidR="007E06E7">
        <w:t xml:space="preserve"> be left open about the further extension of the Charter’s application throughout society in a manner consistent with s</w:t>
      </w:r>
      <w:r w:rsidR="000D6E24">
        <w:t>ection</w:t>
      </w:r>
      <w:r w:rsidR="007E06E7">
        <w:t xml:space="preserve"> 8 of the South African </w:t>
      </w:r>
      <w:r w:rsidR="007E06E7" w:rsidRPr="00D75AA2">
        <w:rPr>
          <w:i/>
        </w:rPr>
        <w:t>Bill of Rights 1996</w:t>
      </w:r>
      <w:r w:rsidR="007E06E7">
        <w:t>.</w:t>
      </w:r>
    </w:p>
    <w:p w:rsidR="00E773CE" w:rsidRPr="007E06E7" w:rsidRDefault="00E773CE" w:rsidP="007E06E7">
      <w:pPr>
        <w:pStyle w:val="Bullet2"/>
        <w:numPr>
          <w:ilvl w:val="0"/>
          <w:numId w:val="0"/>
        </w:numPr>
        <w:ind w:left="709"/>
      </w:pPr>
      <w:r w:rsidRPr="00D20ED6">
        <w:rPr>
          <w:highlight w:val="yellow"/>
        </w:rPr>
        <w:t>[</w:t>
      </w:r>
      <w:r w:rsidRPr="00D20ED6">
        <w:rPr>
          <w:b/>
          <w:highlight w:val="yellow"/>
        </w:rPr>
        <w:t xml:space="preserve">Note to QAILS: </w:t>
      </w:r>
      <w:r w:rsidRPr="00D20ED6">
        <w:rPr>
          <w:b/>
          <w:i/>
          <w:highlight w:val="yellow"/>
        </w:rPr>
        <w:t xml:space="preserve">please provide your instructions as to whether the </w:t>
      </w:r>
      <w:r>
        <w:rPr>
          <w:b/>
          <w:i/>
          <w:highlight w:val="yellow"/>
        </w:rPr>
        <w:t>C</w:t>
      </w:r>
      <w:r w:rsidRPr="00D20ED6">
        <w:rPr>
          <w:b/>
          <w:i/>
          <w:highlight w:val="yellow"/>
        </w:rPr>
        <w:t xml:space="preserve">harter should </w:t>
      </w:r>
      <w:r>
        <w:rPr>
          <w:b/>
          <w:i/>
          <w:highlight w:val="yellow"/>
        </w:rPr>
        <w:t>further extend to private entities</w:t>
      </w:r>
      <w:r w:rsidRPr="00D20ED6">
        <w:rPr>
          <w:highlight w:val="yellow"/>
        </w:rPr>
        <w:t>]</w:t>
      </w:r>
    </w:p>
    <w:p w:rsidR="009C75D4" w:rsidRDefault="009C75D4" w:rsidP="009C75D4">
      <w:pPr>
        <w:pStyle w:val="AllensHeading2"/>
      </w:pPr>
      <w:r>
        <w:t>Opt in clause</w:t>
      </w:r>
    </w:p>
    <w:p w:rsidR="009C75D4" w:rsidRPr="00DF2BC1" w:rsidRDefault="006C33D0" w:rsidP="009C75D4">
      <w:pPr>
        <w:ind w:left="709"/>
        <w:rPr>
          <w:lang w:eastAsia="en-US"/>
        </w:rPr>
      </w:pPr>
      <w:r>
        <w:rPr>
          <w:lang w:eastAsia="en-US"/>
        </w:rPr>
        <w:t>Another alternative to mandating compliance by the private sphere has been adopted in the ACT. It has</w:t>
      </w:r>
      <w:r w:rsidR="009C75D4" w:rsidRPr="00DF2BC1">
        <w:rPr>
          <w:lang w:eastAsia="en-US"/>
        </w:rPr>
        <w:t xml:space="preserve"> </w:t>
      </w:r>
      <w:r w:rsidR="008953CC">
        <w:rPr>
          <w:lang w:eastAsia="en-US"/>
        </w:rPr>
        <w:t>legislated</w:t>
      </w:r>
      <w:r w:rsidR="009C75D4" w:rsidRPr="00DF2BC1">
        <w:rPr>
          <w:lang w:eastAsia="en-US"/>
        </w:rPr>
        <w:t xml:space="preserve"> an ‘opt-in’ clause which allows private companies, partnerships and associations to write to the attorney-general to request a declaration that they become bound by the provisions of the </w:t>
      </w:r>
      <w:r w:rsidR="009C75D4" w:rsidRPr="009C75D4">
        <w:rPr>
          <w:i/>
          <w:lang w:eastAsia="en-US"/>
        </w:rPr>
        <w:t>Human Rights Act 2004</w:t>
      </w:r>
      <w:r w:rsidR="009C75D4" w:rsidRPr="00DF2BC1">
        <w:rPr>
          <w:lang w:eastAsia="en-US"/>
        </w:rPr>
        <w:t xml:space="preserve"> (ACT). </w:t>
      </w:r>
    </w:p>
    <w:p w:rsidR="009C75D4" w:rsidRDefault="009C75D4" w:rsidP="009C75D4">
      <w:pPr>
        <w:ind w:left="709"/>
        <w:rPr>
          <w:lang w:eastAsia="en-US"/>
        </w:rPr>
      </w:pPr>
      <w:r w:rsidRPr="00DF2BC1">
        <w:rPr>
          <w:lang w:eastAsia="en-US"/>
        </w:rPr>
        <w:t>This unique provision arises out of a recognition that imposing human rights obligations on private entities from the outset may be perceived to b</w:t>
      </w:r>
      <w:r w:rsidR="00A3655A">
        <w:rPr>
          <w:lang w:eastAsia="en-US"/>
        </w:rPr>
        <w:t xml:space="preserve">e too onerous and lack support. </w:t>
      </w:r>
      <w:r w:rsidRPr="00DF2BC1">
        <w:rPr>
          <w:lang w:eastAsia="en-US"/>
        </w:rPr>
        <w:t>Though there has not been a rush from private bodies to opt-in,</w:t>
      </w:r>
      <w:r w:rsidR="007A16A7">
        <w:rPr>
          <w:rStyle w:val="FootnoteReference"/>
          <w:lang w:eastAsia="en-US"/>
        </w:rPr>
        <w:footnoteReference w:id="11"/>
      </w:r>
      <w:r w:rsidRPr="00DF2BC1">
        <w:rPr>
          <w:lang w:eastAsia="en-US"/>
        </w:rPr>
        <w:t xml:space="preserve"> with significant time, education and training, more private bodies may wish to demonstrate their commitment to human rights and the communities within which they operate.</w:t>
      </w:r>
      <w:r w:rsidR="000F153F">
        <w:rPr>
          <w:rStyle w:val="FootnoteReference"/>
          <w:lang w:eastAsia="en-US"/>
        </w:rPr>
        <w:footnoteReference w:id="12"/>
      </w:r>
    </w:p>
    <w:p w:rsidR="009C75D4" w:rsidRPr="009C75D4" w:rsidRDefault="00E773CE" w:rsidP="009C75D4">
      <w:pPr>
        <w:pStyle w:val="NormalIndent"/>
      </w:pPr>
      <w:r w:rsidRPr="00D20ED6">
        <w:rPr>
          <w:highlight w:val="yellow"/>
        </w:rPr>
        <w:t>[</w:t>
      </w:r>
      <w:r w:rsidRPr="00D20ED6">
        <w:rPr>
          <w:b/>
          <w:highlight w:val="yellow"/>
        </w:rPr>
        <w:t xml:space="preserve">Note to QAILS: </w:t>
      </w:r>
      <w:r w:rsidR="005654F8" w:rsidRPr="005654F8">
        <w:rPr>
          <w:b/>
          <w:i/>
          <w:highlight w:val="yellow"/>
        </w:rPr>
        <w:t xml:space="preserve">if you would not prefer to advocate that the Charter extend into the private sphere, </w:t>
      </w:r>
      <w:r w:rsidRPr="005654F8">
        <w:rPr>
          <w:b/>
          <w:i/>
          <w:highlight w:val="yellow"/>
        </w:rPr>
        <w:t>please p</w:t>
      </w:r>
      <w:r w:rsidRPr="00D20ED6">
        <w:rPr>
          <w:b/>
          <w:i/>
          <w:highlight w:val="yellow"/>
        </w:rPr>
        <w:t xml:space="preserve">rovide your instructions as to whether </w:t>
      </w:r>
      <w:r>
        <w:rPr>
          <w:b/>
          <w:i/>
          <w:highlight w:val="yellow"/>
        </w:rPr>
        <w:t xml:space="preserve">you would like </w:t>
      </w:r>
      <w:r w:rsidRPr="00D20ED6">
        <w:rPr>
          <w:b/>
          <w:i/>
          <w:highlight w:val="yellow"/>
        </w:rPr>
        <w:t xml:space="preserve">the </w:t>
      </w:r>
      <w:r>
        <w:rPr>
          <w:b/>
          <w:i/>
          <w:highlight w:val="yellow"/>
        </w:rPr>
        <w:t>C</w:t>
      </w:r>
      <w:r w:rsidRPr="00D20ED6">
        <w:rPr>
          <w:b/>
          <w:i/>
          <w:highlight w:val="yellow"/>
        </w:rPr>
        <w:t xml:space="preserve">harter </w:t>
      </w:r>
      <w:r>
        <w:rPr>
          <w:b/>
          <w:i/>
          <w:highlight w:val="yellow"/>
        </w:rPr>
        <w:t>to include this opt-in clause</w:t>
      </w:r>
      <w:r w:rsidRPr="00D20ED6">
        <w:rPr>
          <w:highlight w:val="yellow"/>
        </w:rPr>
        <w:t>]</w:t>
      </w:r>
    </w:p>
    <w:p w:rsidR="003B00DF" w:rsidRPr="00C94523" w:rsidRDefault="003B00DF" w:rsidP="003B00DF">
      <w:pPr>
        <w:rPr>
          <w:rFonts w:cs="Arial"/>
          <w:lang w:eastAsia="en-US"/>
        </w:rPr>
      </w:pPr>
    </w:p>
    <w:sectPr w:rsidR="003B00DF" w:rsidRPr="00C94523" w:rsidSect="003D4B3A">
      <w:headerReference w:type="default" r:id="rId8"/>
      <w:footerReference w:type="default" r:id="rId9"/>
      <w:headerReference w:type="first" r:id="rId10"/>
      <w:footerReference w:type="first" r:id="rId11"/>
      <w:pgSz w:w="11907" w:h="16839" w:code="9"/>
      <w:pgMar w:top="1701" w:right="1134" w:bottom="1134" w:left="1417"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95" w:rsidRDefault="00BE4395">
      <w:r>
        <w:separator/>
      </w:r>
    </w:p>
  </w:endnote>
  <w:endnote w:type="continuationSeparator" w:id="0">
    <w:p w:rsidR="00BE4395" w:rsidRDefault="00B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174EBE" w:rsidTr="009B17BB">
      <w:tc>
        <w:tcPr>
          <w:tcW w:w="8647" w:type="dxa"/>
        </w:tcPr>
        <w:p w:rsidR="00174EBE" w:rsidRDefault="00930D78">
          <w:pPr>
            <w:pStyle w:val="Footer"/>
          </w:pPr>
          <w:fldSimple w:instr=" DOCPROPERTY &quot;DOCSFooter&quot;  \* MERGEFORMAT ">
            <w:r w:rsidR="00AC6A3E">
              <w:t xml:space="preserve">mypb A0135513503v1 150000 </w:t>
            </w:r>
          </w:fldSimple>
          <w:r w:rsidR="00174EBE">
            <w:t xml:space="preserve">    </w:t>
          </w:r>
          <w:r w:rsidR="00174EBE">
            <w:fldChar w:fldCharType="begin"/>
          </w:r>
          <w:r w:rsidR="00174EBE">
            <w:instrText xml:space="preserve"> SAVEDATE \@ "d.M.yyyy" \* MERGEFORMAT </w:instrText>
          </w:r>
          <w:r w:rsidR="00174EBE">
            <w:fldChar w:fldCharType="separate"/>
          </w:r>
          <w:r w:rsidR="005654F8">
            <w:t>16.2.2016</w:t>
          </w:r>
          <w:r w:rsidR="00174EBE">
            <w:fldChar w:fldCharType="end"/>
          </w:r>
        </w:p>
      </w:tc>
      <w:tc>
        <w:tcPr>
          <w:tcW w:w="709" w:type="dxa"/>
        </w:tcPr>
        <w:p w:rsidR="00174EBE" w:rsidRDefault="00174EBE" w:rsidP="009B17BB">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654F8">
            <w:rPr>
              <w:snapToGrid w:val="0"/>
            </w:rPr>
            <w:t>2</w:t>
          </w:r>
          <w:r>
            <w:rPr>
              <w:snapToGrid w:val="0"/>
            </w:rPr>
            <w:fldChar w:fldCharType="end"/>
          </w:r>
        </w:p>
      </w:tc>
    </w:tr>
  </w:tbl>
  <w:p w:rsidR="00174EBE" w:rsidRDefault="00174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174EBE" w:rsidTr="009B17BB">
      <w:tc>
        <w:tcPr>
          <w:tcW w:w="8647" w:type="dxa"/>
        </w:tcPr>
        <w:p w:rsidR="00174EBE" w:rsidRDefault="00930D78">
          <w:pPr>
            <w:pStyle w:val="Footer"/>
          </w:pPr>
          <w:fldSimple w:instr=" DOCPROPERTY &quot;DOCSFooter&quot;  \* MERGEFORMAT ">
            <w:r w:rsidR="00AC6A3E">
              <w:t xml:space="preserve">mypb A0135513503v1 150000 </w:t>
            </w:r>
          </w:fldSimple>
          <w:r w:rsidR="00174EBE">
            <w:t xml:space="preserve">    </w:t>
          </w:r>
          <w:r w:rsidR="00174EBE">
            <w:fldChar w:fldCharType="begin"/>
          </w:r>
          <w:r w:rsidR="00174EBE">
            <w:instrText xml:space="preserve"> SAVEDATE \@ "d.M.yyyy" \* MERGEFORMAT </w:instrText>
          </w:r>
          <w:r w:rsidR="00174EBE">
            <w:fldChar w:fldCharType="separate"/>
          </w:r>
          <w:r w:rsidR="005654F8">
            <w:t>16.2.2016</w:t>
          </w:r>
          <w:r w:rsidR="00174EBE">
            <w:fldChar w:fldCharType="end"/>
          </w:r>
        </w:p>
      </w:tc>
      <w:tc>
        <w:tcPr>
          <w:tcW w:w="709" w:type="dxa"/>
        </w:tcPr>
        <w:p w:rsidR="00174EBE" w:rsidRDefault="00174EBE">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654F8">
            <w:rPr>
              <w:snapToGrid w:val="0"/>
            </w:rPr>
            <w:t>1</w:t>
          </w:r>
          <w:r>
            <w:rPr>
              <w:snapToGrid w:val="0"/>
            </w:rPr>
            <w:fldChar w:fldCharType="end"/>
          </w:r>
        </w:p>
      </w:tc>
    </w:tr>
  </w:tbl>
  <w:p w:rsidR="00174EBE" w:rsidRDefault="003D4B3A">
    <w:pPr>
      <w:pStyle w:val="Footer"/>
    </w:pPr>
    <w:bookmarkStart w:id="0" w:name="DocumentDisclaimer"/>
    <w:r>
      <w:rPr>
        <w:sz w:val="12"/>
      </w:rPr>
      <w:t>Allens is an independent partnership operating in alliance with Linklaters LLP.</w: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95" w:rsidRDefault="00BE4395">
      <w:r>
        <w:separator/>
      </w:r>
    </w:p>
  </w:footnote>
  <w:footnote w:type="continuationSeparator" w:id="0">
    <w:p w:rsidR="00BE4395" w:rsidRDefault="00BE4395">
      <w:r>
        <w:continuationSeparator/>
      </w:r>
    </w:p>
  </w:footnote>
  <w:footnote w:id="1">
    <w:p w:rsidR="009F3C76" w:rsidRPr="0096105E" w:rsidRDefault="009F3C76" w:rsidP="009F3C76">
      <w:pPr>
        <w:autoSpaceDE w:val="0"/>
        <w:autoSpaceDN w:val="0"/>
        <w:adjustRightInd w:val="0"/>
        <w:spacing w:before="0" w:line="240" w:lineRule="auto"/>
        <w:rPr>
          <w:rFonts w:cs="Arial"/>
          <w:sz w:val="16"/>
          <w:szCs w:val="16"/>
        </w:rPr>
      </w:pPr>
      <w:r w:rsidRPr="0096105E">
        <w:rPr>
          <w:rStyle w:val="FootnoteReference"/>
          <w:rFonts w:cs="Arial"/>
          <w:sz w:val="16"/>
          <w:szCs w:val="16"/>
        </w:rPr>
        <w:footnoteRef/>
      </w:r>
      <w:r w:rsidRPr="0096105E">
        <w:rPr>
          <w:rFonts w:cs="Arial"/>
          <w:sz w:val="16"/>
          <w:szCs w:val="16"/>
        </w:rPr>
        <w:t xml:space="preserve"> Joint Committee on Human Rights, </w:t>
      </w:r>
      <w:r w:rsidRPr="0096105E">
        <w:rPr>
          <w:rFonts w:cs="Arial"/>
          <w:i/>
          <w:iCs/>
          <w:sz w:val="16"/>
          <w:szCs w:val="16"/>
        </w:rPr>
        <w:t xml:space="preserve">The Meaning of Public Authority under the Human Rights Act </w:t>
      </w:r>
      <w:r w:rsidRPr="0096105E">
        <w:rPr>
          <w:rFonts w:cs="Arial"/>
          <w:sz w:val="16"/>
          <w:szCs w:val="16"/>
        </w:rPr>
        <w:t>Seventh Report, House of Commons Paper No 382; House of Lords Paper No 39, Session 2003-04 (2004) 5-7; 9-10.</w:t>
      </w:r>
    </w:p>
  </w:footnote>
  <w:footnote w:id="2">
    <w:p w:rsidR="00116226" w:rsidRPr="00116226" w:rsidRDefault="00116226">
      <w:pPr>
        <w:pStyle w:val="FootnoteText"/>
      </w:pPr>
      <w:r>
        <w:rPr>
          <w:rStyle w:val="FootnoteReference"/>
        </w:rPr>
        <w:footnoteRef/>
      </w:r>
      <w:r>
        <w:t xml:space="preserve"> Tasmania Law Reform Institute, </w:t>
      </w:r>
      <w:r>
        <w:rPr>
          <w:i/>
        </w:rPr>
        <w:t>A Charter of Rights for Tasmania</w:t>
      </w:r>
      <w:r>
        <w:t xml:space="preserve"> Tenth R</w:t>
      </w:r>
      <w:r w:rsidR="0096105E">
        <w:t>eport</w:t>
      </w:r>
      <w:r>
        <w:t xml:space="preserve"> </w:t>
      </w:r>
      <w:r w:rsidR="0096105E">
        <w:t xml:space="preserve">(October 2007) 71.  </w:t>
      </w:r>
    </w:p>
  </w:footnote>
  <w:footnote w:id="3">
    <w:p w:rsidR="00985161" w:rsidRPr="00985161" w:rsidRDefault="00985161" w:rsidP="00985161">
      <w:pPr>
        <w:pStyle w:val="FootnoteText"/>
      </w:pPr>
      <w:r>
        <w:rPr>
          <w:rStyle w:val="FootnoteReference"/>
        </w:rPr>
        <w:footnoteRef/>
      </w:r>
      <w:r>
        <w:t xml:space="preserve"> Human Rights Law Resource Centre, </w:t>
      </w:r>
      <w:r w:rsidRPr="00985161">
        <w:rPr>
          <w:i/>
        </w:rPr>
        <w:t>Respecting, Protecting and Fulfilling Human Rights in Tasmania</w:t>
      </w:r>
      <w:r>
        <w:t xml:space="preserve">, Submission to the Tasmanian Law Reform Institute (November 2006) 37. </w:t>
      </w:r>
    </w:p>
  </w:footnote>
  <w:footnote w:id="4">
    <w:p w:rsidR="00C22687" w:rsidRDefault="00C22687" w:rsidP="00C22687">
      <w:pPr>
        <w:pStyle w:val="FootnoteText"/>
      </w:pPr>
      <w:r>
        <w:rPr>
          <w:rStyle w:val="FootnoteReference"/>
        </w:rPr>
        <w:footnoteRef/>
      </w:r>
      <w:r>
        <w:t xml:space="preserve"> For example, the United Kingdom </w:t>
      </w:r>
      <w:r w:rsidRPr="00C22687">
        <w:rPr>
          <w:i/>
        </w:rPr>
        <w:t>Human Rights Act 1998</w:t>
      </w:r>
      <w:r>
        <w:t xml:space="preserve">, the New Zealand </w:t>
      </w:r>
      <w:r w:rsidRPr="00C22687">
        <w:rPr>
          <w:i/>
        </w:rPr>
        <w:t>Bill of Rights Act 1990</w:t>
      </w:r>
      <w:r>
        <w:t xml:space="preserve"> and the Canadian </w:t>
      </w:r>
      <w:r w:rsidRPr="00C22687">
        <w:rPr>
          <w:i/>
        </w:rPr>
        <w:t>Charter of Rights and Freedoms 1982</w:t>
      </w:r>
      <w:r>
        <w:t xml:space="preserve"> apply to courts in the performance of all their functions.</w:t>
      </w:r>
    </w:p>
  </w:footnote>
  <w:footnote w:id="5">
    <w:p w:rsidR="00202A85" w:rsidRPr="00202A85" w:rsidRDefault="00202A85" w:rsidP="00202A85">
      <w:pPr>
        <w:pStyle w:val="FootnoteText"/>
        <w:rPr>
          <w:i/>
          <w:iCs/>
        </w:rPr>
      </w:pPr>
      <w:r>
        <w:rPr>
          <w:rStyle w:val="FootnoteReference"/>
        </w:rPr>
        <w:footnoteRef/>
      </w:r>
      <w:r>
        <w:t xml:space="preserve"> </w:t>
      </w:r>
      <w:r w:rsidRPr="00202A85">
        <w:t xml:space="preserve">Victorian Human Rights Consultation Committee, </w:t>
      </w:r>
      <w:r w:rsidRPr="00202A85">
        <w:rPr>
          <w:i/>
          <w:iCs/>
        </w:rPr>
        <w:t>Rights, Responsibilities and Respect:</w:t>
      </w:r>
      <w:r>
        <w:rPr>
          <w:i/>
          <w:iCs/>
        </w:rPr>
        <w:t xml:space="preserve"> The Report of the Human Rights </w:t>
      </w:r>
      <w:r w:rsidRPr="00202A85">
        <w:rPr>
          <w:i/>
          <w:iCs/>
        </w:rPr>
        <w:t xml:space="preserve">Consultation Committee </w:t>
      </w:r>
      <w:r w:rsidRPr="00202A85">
        <w:t>(2005) 59.</w:t>
      </w:r>
    </w:p>
  </w:footnote>
  <w:footnote w:id="6">
    <w:p w:rsidR="00CA56C6" w:rsidRPr="00CA56C6" w:rsidRDefault="00CA56C6">
      <w:pPr>
        <w:pStyle w:val="FootnoteText"/>
      </w:pPr>
      <w:r>
        <w:rPr>
          <w:rStyle w:val="FootnoteReference"/>
        </w:rPr>
        <w:footnoteRef/>
      </w:r>
      <w:r>
        <w:t xml:space="preserve"> </w:t>
      </w:r>
      <w:r w:rsidR="00A3655A">
        <w:t xml:space="preserve">See, for example, </w:t>
      </w:r>
      <w:r>
        <w:t xml:space="preserve">Michael Brett Young, </w:t>
      </w:r>
      <w:r>
        <w:rPr>
          <w:i/>
        </w:rPr>
        <w:t xml:space="preserve">From Commitment to Culture: The 2015 Review of the Charter of Human Rights and Responsibilities Act 2006 </w:t>
      </w:r>
      <w:r w:rsidR="0086247F">
        <w:t xml:space="preserve">(2015) 79. </w:t>
      </w:r>
    </w:p>
  </w:footnote>
  <w:footnote w:id="7">
    <w:p w:rsidR="00AF4AF5" w:rsidRDefault="00AF4AF5">
      <w:pPr>
        <w:pStyle w:val="FootnoteText"/>
      </w:pPr>
      <w:r>
        <w:rPr>
          <w:rStyle w:val="FootnoteReference"/>
        </w:rPr>
        <w:footnoteRef/>
      </w:r>
      <w:r>
        <w:t xml:space="preserve"> </w:t>
      </w:r>
      <w:r w:rsidR="00765460">
        <w:t>Above n 3,</w:t>
      </w:r>
      <w:r>
        <w:t xml:space="preserve"> 67. </w:t>
      </w:r>
    </w:p>
  </w:footnote>
  <w:footnote w:id="8">
    <w:p w:rsidR="00A2184B" w:rsidRDefault="00A2184B">
      <w:pPr>
        <w:pStyle w:val="FootnoteText"/>
      </w:pPr>
      <w:r>
        <w:rPr>
          <w:rStyle w:val="FootnoteReference"/>
        </w:rPr>
        <w:footnoteRef/>
      </w:r>
      <w:r>
        <w:t xml:space="preserve"> </w:t>
      </w:r>
      <w:r w:rsidRPr="00A2184B">
        <w:t xml:space="preserve">South African </w:t>
      </w:r>
      <w:r w:rsidRPr="00A2184B">
        <w:rPr>
          <w:i/>
        </w:rPr>
        <w:t>Bill of Rights 1996</w:t>
      </w:r>
      <w:r>
        <w:t>, s8</w:t>
      </w:r>
      <w:r w:rsidRPr="00A2184B">
        <w:t>.</w:t>
      </w:r>
    </w:p>
  </w:footnote>
  <w:footnote w:id="9">
    <w:p w:rsidR="00C51141" w:rsidRDefault="00C51141" w:rsidP="00C51141">
      <w:pPr>
        <w:pStyle w:val="FootnoteText"/>
      </w:pPr>
      <w:r>
        <w:rPr>
          <w:rStyle w:val="FootnoteReference"/>
        </w:rPr>
        <w:footnoteRef/>
      </w:r>
      <w:r>
        <w:t xml:space="preserve"> </w:t>
      </w:r>
      <w:r w:rsidRPr="00C51141">
        <w:t xml:space="preserve">Paul </w:t>
      </w:r>
      <w:proofErr w:type="spellStart"/>
      <w:r w:rsidRPr="00C51141">
        <w:t>Rishworth</w:t>
      </w:r>
      <w:proofErr w:type="spellEnd"/>
      <w:r w:rsidRPr="00C51141">
        <w:t xml:space="preserve"> ‘Human Rights’ [2005] </w:t>
      </w:r>
      <w:r w:rsidRPr="00C51141">
        <w:rPr>
          <w:i/>
          <w:iCs/>
        </w:rPr>
        <w:t xml:space="preserve">New Zealand Law Review </w:t>
      </w:r>
      <w:r w:rsidRPr="00C51141">
        <w:t>87; Andrew Geddes</w:t>
      </w:r>
      <w:r>
        <w:t xml:space="preserve"> ‘The Horizontal Effects of the </w:t>
      </w:r>
      <w:r w:rsidRPr="00C51141">
        <w:t xml:space="preserve">New Zealand Bill of Rights Act as Applied in </w:t>
      </w:r>
      <w:r w:rsidRPr="00C51141">
        <w:rPr>
          <w:i/>
          <w:iCs/>
        </w:rPr>
        <w:t xml:space="preserve">Hosking v </w:t>
      </w:r>
      <w:proofErr w:type="spellStart"/>
      <w:r w:rsidRPr="00C51141">
        <w:rPr>
          <w:i/>
          <w:iCs/>
        </w:rPr>
        <w:t>Runting</w:t>
      </w:r>
      <w:proofErr w:type="spellEnd"/>
      <w:r w:rsidRPr="00C51141">
        <w:t xml:space="preserve">’ [2004] </w:t>
      </w:r>
      <w:r w:rsidRPr="00C51141">
        <w:rPr>
          <w:i/>
          <w:iCs/>
        </w:rPr>
        <w:t xml:space="preserve">New Zealand Law Review </w:t>
      </w:r>
      <w:r>
        <w:t xml:space="preserve">681; Anthony Lester, </w:t>
      </w:r>
      <w:r w:rsidRPr="00C51141">
        <w:t xml:space="preserve">‘The Magnetism of the </w:t>
      </w:r>
      <w:r w:rsidRPr="00C51141">
        <w:rPr>
          <w:i/>
          <w:iCs/>
        </w:rPr>
        <w:t>Human Rights Act 1998</w:t>
      </w:r>
      <w:r w:rsidRPr="00C51141">
        <w:t>’ [2002] Victoria University of Welling</w:t>
      </w:r>
      <w:r>
        <w:t xml:space="preserve">ton Law Review 20; Murray Hunt, </w:t>
      </w:r>
      <w:r w:rsidRPr="00C51141">
        <w:t xml:space="preserve">‘The “Horizontal Effect” of the Human Rights Act’ [1998] </w:t>
      </w:r>
      <w:r w:rsidRPr="00C51141">
        <w:rPr>
          <w:i/>
          <w:iCs/>
        </w:rPr>
        <w:t xml:space="preserve">PL </w:t>
      </w:r>
      <w:r w:rsidRPr="00C51141">
        <w:t>423; Lord Justice Buxton, ‘The Human Rights Act and</w:t>
      </w:r>
      <w:r>
        <w:t xml:space="preserve"> </w:t>
      </w:r>
      <w:r w:rsidRPr="00C51141">
        <w:t xml:space="preserve">Private Law’ (2000) 116 </w:t>
      </w:r>
      <w:r w:rsidRPr="00C51141">
        <w:rPr>
          <w:i/>
          <w:iCs/>
        </w:rPr>
        <w:t xml:space="preserve">Law Quarterly Review </w:t>
      </w:r>
      <w:r w:rsidRPr="00C51141">
        <w:t xml:space="preserve">48; Antony Lester and David </w:t>
      </w:r>
      <w:proofErr w:type="spellStart"/>
      <w:r w:rsidRPr="00C51141">
        <w:t>Pannick</w:t>
      </w:r>
      <w:proofErr w:type="spellEnd"/>
      <w:r w:rsidRPr="00C51141">
        <w:t xml:space="preserve">, </w:t>
      </w:r>
      <w:r>
        <w:t xml:space="preserve">‘The Impact of the Human Rights </w:t>
      </w:r>
      <w:r w:rsidRPr="00C51141">
        <w:t xml:space="preserve">Act on Private Law: The Knight’s Move’, (2000) 116 </w:t>
      </w:r>
      <w:r w:rsidRPr="00C51141">
        <w:rPr>
          <w:i/>
          <w:iCs/>
        </w:rPr>
        <w:t xml:space="preserve">Law Quarterly Review </w:t>
      </w:r>
      <w:r w:rsidRPr="00C51141">
        <w:t>380; AS B</w:t>
      </w:r>
      <w:r>
        <w:t xml:space="preserve">utler, ‘The New Zealand Bill of </w:t>
      </w:r>
      <w:r w:rsidRPr="00C51141">
        <w:t xml:space="preserve">Rights and Private Common Law Litigation’ [1991] </w:t>
      </w:r>
      <w:r w:rsidRPr="00C51141">
        <w:rPr>
          <w:i/>
          <w:iCs/>
        </w:rPr>
        <w:t xml:space="preserve">New Zealand Law Journal </w:t>
      </w:r>
      <w:r w:rsidRPr="00C51141">
        <w:t>261.</w:t>
      </w:r>
    </w:p>
  </w:footnote>
  <w:footnote w:id="10">
    <w:p w:rsidR="00A2184B" w:rsidRDefault="00A2184B">
      <w:pPr>
        <w:pStyle w:val="FootnoteText"/>
      </w:pPr>
      <w:r>
        <w:rPr>
          <w:rStyle w:val="FootnoteReference"/>
        </w:rPr>
        <w:footnoteRef/>
      </w:r>
      <w:r>
        <w:t xml:space="preserve"> Human Rights and Equal Opportunity Commission, </w:t>
      </w:r>
      <w:r w:rsidRPr="00A2184B">
        <w:rPr>
          <w:rStyle w:val="Strong"/>
          <w:b w:val="0"/>
          <w:bCs w:val="0"/>
          <w:i/>
          <w:lang w:val="en"/>
        </w:rPr>
        <w:t xml:space="preserve">Submission </w:t>
      </w:r>
      <w:r w:rsidRPr="00A2184B">
        <w:rPr>
          <w:i/>
          <w:lang w:val="en"/>
        </w:rPr>
        <w:t>in response to the Tasmanian Law Reform Institute’s Issues Paper: A Charter of Rights for Tasmania?</w:t>
      </w:r>
      <w:r>
        <w:rPr>
          <w:i/>
          <w:lang w:val="en"/>
        </w:rPr>
        <w:t xml:space="preserve"> </w:t>
      </w:r>
      <w:r w:rsidRPr="00A2184B">
        <w:rPr>
          <w:lang w:val="en"/>
        </w:rPr>
        <w:t>(15 December 2006)</w:t>
      </w:r>
      <w:r>
        <w:rPr>
          <w:i/>
          <w:lang w:val="en"/>
        </w:rPr>
        <w:t xml:space="preserve"> </w:t>
      </w:r>
      <w:r w:rsidRPr="00A2184B">
        <w:rPr>
          <w:lang w:val="en"/>
        </w:rPr>
        <w:t>22.</w:t>
      </w:r>
    </w:p>
  </w:footnote>
  <w:footnote w:id="11">
    <w:p w:rsidR="007A16A7" w:rsidRDefault="007A16A7">
      <w:pPr>
        <w:pStyle w:val="FootnoteText"/>
      </w:pPr>
      <w:r>
        <w:rPr>
          <w:rStyle w:val="FootnoteReference"/>
        </w:rPr>
        <w:footnoteRef/>
      </w:r>
      <w:r>
        <w:t xml:space="preserve"> According to the ACT legislation database (available at </w:t>
      </w:r>
      <w:r w:rsidRPr="005E12D9">
        <w:t>http://www.legislation.act.gov.au/ni/current/h.asp</w:t>
      </w:r>
      <w:r>
        <w:t xml:space="preserve">), there have been seven notifiable instruments registered since 2004 declaring private entities to be subject to the </w:t>
      </w:r>
      <w:r w:rsidRPr="00B23ACD">
        <w:rPr>
          <w:i/>
        </w:rPr>
        <w:t>Human Rights Act 2004</w:t>
      </w:r>
      <w:r>
        <w:t xml:space="preserve"> (ACT). </w:t>
      </w:r>
    </w:p>
  </w:footnote>
  <w:footnote w:id="12">
    <w:p w:rsidR="000F153F" w:rsidRPr="000F153F" w:rsidRDefault="000F153F" w:rsidP="000F153F">
      <w:pPr>
        <w:pStyle w:val="FootnoteText"/>
      </w:pPr>
      <w:r>
        <w:rPr>
          <w:rStyle w:val="FootnoteReference"/>
        </w:rPr>
        <w:footnoteRef/>
      </w:r>
      <w:r>
        <w:t xml:space="preserve"> Australian Lawyers' Alliance, </w:t>
      </w:r>
      <w:r w:rsidRPr="000F153F">
        <w:rPr>
          <w:i/>
        </w:rPr>
        <w:t xml:space="preserve">A human rights act for </w:t>
      </w:r>
      <w:r w:rsidRPr="00753E26">
        <w:rPr>
          <w:i/>
        </w:rPr>
        <w:t>Australia</w:t>
      </w:r>
      <w:r>
        <w:t xml:space="preserve">, </w:t>
      </w:r>
      <w:r w:rsidRPr="000F153F">
        <w:t>Submission to the federal human rights consultation</w:t>
      </w:r>
      <w:r w:rsidR="00753E26">
        <w:t xml:space="preserve">, </w:t>
      </w:r>
      <w:hyperlink r:id="rId1" w:history="1">
        <w:r w:rsidR="00753E26" w:rsidRPr="008F47BA">
          <w:rPr>
            <w:rStyle w:val="Hyperlink"/>
          </w:rPr>
          <w:t>http://www.hrlrc.org.au/files/human-rights-consultation-submission.pdf</w:t>
        </w:r>
      </w:hyperlink>
      <w:r w:rsidR="00753E26">
        <w:t xml:space="preserve"> (accessed on 20 November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2E4D22" w:rsidTr="002073DA">
      <w:trPr>
        <w:trHeight w:hRule="exact" w:val="900"/>
      </w:trPr>
      <w:tc>
        <w:tcPr>
          <w:tcW w:w="6946" w:type="dxa"/>
          <w:vAlign w:val="bottom"/>
        </w:tcPr>
        <w:p w:rsidR="002E4D22" w:rsidRDefault="002E4D22" w:rsidP="001679EE">
          <w:pPr>
            <w:pStyle w:val="HeaderTitle"/>
          </w:pPr>
        </w:p>
      </w:tc>
      <w:tc>
        <w:tcPr>
          <w:tcW w:w="2410" w:type="dxa"/>
          <w:vAlign w:val="bottom"/>
        </w:tcPr>
        <w:p w:rsidR="002E4D22" w:rsidRDefault="002E4D22" w:rsidP="001679EE">
          <w:pPr>
            <w:pStyle w:val="HeaderTitle"/>
            <w:jc w:val="right"/>
          </w:pPr>
          <w:r>
            <w:drawing>
              <wp:inline distT="0" distB="0" distL="0" distR="0" wp14:anchorId="71D03DFF" wp14:editId="5CE757E5">
                <wp:extent cx="1442085" cy="132080"/>
                <wp:effectExtent l="0" t="0" r="5715"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174EBE" w:rsidRPr="002073DA" w:rsidRDefault="00174EBE" w:rsidP="002073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861F83" w:rsidRPr="0077043A">
      <w:trPr>
        <w:trHeight w:hRule="exact" w:val="900"/>
      </w:trPr>
      <w:tc>
        <w:tcPr>
          <w:tcW w:w="6946" w:type="dxa"/>
          <w:vAlign w:val="bottom"/>
        </w:tcPr>
        <w:p w:rsidR="00861F83" w:rsidRDefault="00861F83" w:rsidP="00861F83">
          <w:pPr>
            <w:pStyle w:val="HeaderTitle"/>
          </w:pPr>
        </w:p>
      </w:tc>
      <w:tc>
        <w:tcPr>
          <w:tcW w:w="2410" w:type="dxa"/>
          <w:vAlign w:val="bottom"/>
        </w:tcPr>
        <w:p w:rsidR="00861F83" w:rsidRPr="006A4582" w:rsidRDefault="00861F83" w:rsidP="00861F83">
          <w:pPr>
            <w:pStyle w:val="HeaderTitle"/>
            <w:jc w:val="right"/>
            <w:rPr>
              <w:rFonts w:ascii="Times New Roman" w:hAnsi="Times New Roman"/>
            </w:rPr>
          </w:pPr>
          <w:r>
            <w:rPr>
              <w:rFonts w:ascii="Times New Roman" w:hAnsi="Times New Roman"/>
            </w:rPr>
            <w:drawing>
              <wp:inline distT="0" distB="0" distL="0" distR="0" wp14:anchorId="3223DA90" wp14:editId="24848F25">
                <wp:extent cx="1442085" cy="132080"/>
                <wp:effectExtent l="0" t="0" r="5715" b="127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174EBE" w:rsidRPr="00BA71EC" w:rsidRDefault="00174EBE" w:rsidP="00BA7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1">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13DC1C0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7F8494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C3709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EF7D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16947C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20C33B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nsid w:val="3B11364A"/>
    <w:multiLevelType w:val="multilevel"/>
    <w:tmpl w:val="059EC99A"/>
    <w:lvl w:ilvl="0">
      <w:start w:val="1"/>
      <w:numFmt w:val="upperLetter"/>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Restart w:val="1"/>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upperLetter"/>
      <w:lvlText w:val="(%7)"/>
      <w:lvlJc w:val="left"/>
      <w:pPr>
        <w:tabs>
          <w:tab w:val="num" w:pos="2835"/>
        </w:tabs>
        <w:ind w:left="2835" w:hanging="709"/>
      </w:pPr>
      <w:rPr>
        <w:rFonts w:hint="default"/>
      </w:rPr>
    </w:lvl>
    <w:lvl w:ilvl="7">
      <w:start w:val="1"/>
      <w:numFmt w:val="decimal"/>
      <w:lvlText w:val="(%8)"/>
      <w:lvlJc w:val="left"/>
      <w:pPr>
        <w:tabs>
          <w:tab w:val="num" w:pos="3544"/>
        </w:tabs>
        <w:ind w:left="3544" w:hanging="709"/>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1">
    <w:nsid w:val="3D37193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4">
    <w:nsid w:val="3DB506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7">
    <w:nsid w:val="590F6D3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9">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0">
    <w:nsid w:val="6F8B68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22">
    <w:nsid w:val="7C3E3515"/>
    <w:multiLevelType w:val="singleLevel"/>
    <w:tmpl w:val="0C09000F"/>
    <w:lvl w:ilvl="0">
      <w:start w:val="1"/>
      <w:numFmt w:val="decimal"/>
      <w:lvlText w:val="%1."/>
      <w:lvlJc w:val="left"/>
      <w:pPr>
        <w:tabs>
          <w:tab w:val="num" w:pos="360"/>
        </w:tabs>
        <w:ind w:left="360" w:hanging="360"/>
      </w:pPr>
    </w:lvl>
  </w:abstractNum>
  <w:abstractNum w:abstractNumId="23">
    <w:nsid w:val="7CC848C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E513FF8"/>
    <w:multiLevelType w:val="hybridMultilevel"/>
    <w:tmpl w:val="AD5AD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6"/>
  </w:num>
  <w:num w:numId="4">
    <w:abstractNumId w:val="8"/>
  </w:num>
  <w:num w:numId="5">
    <w:abstractNumId w:val="19"/>
  </w:num>
  <w:num w:numId="6">
    <w:abstractNumId w:val="13"/>
  </w:num>
  <w:num w:numId="7">
    <w:abstractNumId w:val="9"/>
  </w:num>
  <w:num w:numId="8">
    <w:abstractNumId w:val="18"/>
  </w:num>
  <w:num w:numId="9">
    <w:abstractNumId w:val="1"/>
  </w:num>
  <w:num w:numId="10">
    <w:abstractNumId w:val="12"/>
  </w:num>
  <w:num w:numId="11">
    <w:abstractNumId w:val="15"/>
  </w:num>
  <w:num w:numId="12">
    <w:abstractNumId w:val="22"/>
  </w:num>
  <w:num w:numId="13">
    <w:abstractNumId w:val="17"/>
  </w:num>
  <w:num w:numId="14">
    <w:abstractNumId w:val="2"/>
  </w:num>
  <w:num w:numId="15">
    <w:abstractNumId w:val="14"/>
  </w:num>
  <w:num w:numId="16">
    <w:abstractNumId w:val="11"/>
  </w:num>
  <w:num w:numId="17">
    <w:abstractNumId w:val="4"/>
  </w:num>
  <w:num w:numId="18">
    <w:abstractNumId w:val="20"/>
  </w:num>
  <w:num w:numId="19">
    <w:abstractNumId w:val="7"/>
  </w:num>
  <w:num w:numId="20">
    <w:abstractNumId w:val="3"/>
  </w:num>
  <w:num w:numId="21">
    <w:abstractNumId w:val="23"/>
  </w:num>
  <w:num w:numId="22">
    <w:abstractNumId w:val="5"/>
  </w:num>
  <w:num w:numId="23">
    <w:abstractNumId w:val="6"/>
  </w:num>
  <w:num w:numId="24">
    <w:abstractNumId w:val="0"/>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3A"/>
    <w:rsid w:val="000002B6"/>
    <w:rsid w:val="00000C11"/>
    <w:rsid w:val="000042E7"/>
    <w:rsid w:val="00006574"/>
    <w:rsid w:val="00006AF3"/>
    <w:rsid w:val="00007CD4"/>
    <w:rsid w:val="00013DCA"/>
    <w:rsid w:val="00014E99"/>
    <w:rsid w:val="00022346"/>
    <w:rsid w:val="000225A9"/>
    <w:rsid w:val="00022639"/>
    <w:rsid w:val="00023EE7"/>
    <w:rsid w:val="00026FDB"/>
    <w:rsid w:val="00027458"/>
    <w:rsid w:val="00030F9C"/>
    <w:rsid w:val="00031ACF"/>
    <w:rsid w:val="0004403D"/>
    <w:rsid w:val="0004577F"/>
    <w:rsid w:val="00057CAE"/>
    <w:rsid w:val="00064717"/>
    <w:rsid w:val="000761B1"/>
    <w:rsid w:val="00076F05"/>
    <w:rsid w:val="00080247"/>
    <w:rsid w:val="00081B21"/>
    <w:rsid w:val="00083A8B"/>
    <w:rsid w:val="00085392"/>
    <w:rsid w:val="00086CB7"/>
    <w:rsid w:val="000872BD"/>
    <w:rsid w:val="00097407"/>
    <w:rsid w:val="000A00CD"/>
    <w:rsid w:val="000B00AF"/>
    <w:rsid w:val="000B37B8"/>
    <w:rsid w:val="000B78A7"/>
    <w:rsid w:val="000C0CF7"/>
    <w:rsid w:val="000C1537"/>
    <w:rsid w:val="000D6E24"/>
    <w:rsid w:val="000E34AD"/>
    <w:rsid w:val="000E46B2"/>
    <w:rsid w:val="000F0353"/>
    <w:rsid w:val="000F09C9"/>
    <w:rsid w:val="000F153F"/>
    <w:rsid w:val="000F3604"/>
    <w:rsid w:val="0010236D"/>
    <w:rsid w:val="001048C3"/>
    <w:rsid w:val="00104B55"/>
    <w:rsid w:val="0010654A"/>
    <w:rsid w:val="0010656C"/>
    <w:rsid w:val="0010725B"/>
    <w:rsid w:val="00111576"/>
    <w:rsid w:val="00112E3C"/>
    <w:rsid w:val="00113041"/>
    <w:rsid w:val="00114436"/>
    <w:rsid w:val="001150F5"/>
    <w:rsid w:val="00116226"/>
    <w:rsid w:val="00116341"/>
    <w:rsid w:val="00127AE2"/>
    <w:rsid w:val="00133615"/>
    <w:rsid w:val="00134058"/>
    <w:rsid w:val="00135BF4"/>
    <w:rsid w:val="00145742"/>
    <w:rsid w:val="00146179"/>
    <w:rsid w:val="00146955"/>
    <w:rsid w:val="00147476"/>
    <w:rsid w:val="0015241C"/>
    <w:rsid w:val="001543FE"/>
    <w:rsid w:val="001568B7"/>
    <w:rsid w:val="0015748D"/>
    <w:rsid w:val="00160862"/>
    <w:rsid w:val="00160C3E"/>
    <w:rsid w:val="001610F1"/>
    <w:rsid w:val="00163C93"/>
    <w:rsid w:val="00164986"/>
    <w:rsid w:val="00165B78"/>
    <w:rsid w:val="00165DD4"/>
    <w:rsid w:val="001665DC"/>
    <w:rsid w:val="001679EE"/>
    <w:rsid w:val="00174EBE"/>
    <w:rsid w:val="00181F30"/>
    <w:rsid w:val="00186C51"/>
    <w:rsid w:val="00191B0F"/>
    <w:rsid w:val="00196451"/>
    <w:rsid w:val="001A30DE"/>
    <w:rsid w:val="001A5C85"/>
    <w:rsid w:val="001B0185"/>
    <w:rsid w:val="001B2BB5"/>
    <w:rsid w:val="001B6FD2"/>
    <w:rsid w:val="001C0D4B"/>
    <w:rsid w:val="001C428F"/>
    <w:rsid w:val="001C4FE1"/>
    <w:rsid w:val="001D0AEB"/>
    <w:rsid w:val="001D40AA"/>
    <w:rsid w:val="001D49A2"/>
    <w:rsid w:val="001D54D6"/>
    <w:rsid w:val="001E054B"/>
    <w:rsid w:val="001E4B93"/>
    <w:rsid w:val="001F07C7"/>
    <w:rsid w:val="001F3C5E"/>
    <w:rsid w:val="001F5B7D"/>
    <w:rsid w:val="001F668B"/>
    <w:rsid w:val="001F700D"/>
    <w:rsid w:val="00200467"/>
    <w:rsid w:val="0020182A"/>
    <w:rsid w:val="00202A85"/>
    <w:rsid w:val="002073DA"/>
    <w:rsid w:val="00213BC9"/>
    <w:rsid w:val="002155D8"/>
    <w:rsid w:val="00216A3B"/>
    <w:rsid w:val="00217C9A"/>
    <w:rsid w:val="00226F87"/>
    <w:rsid w:val="00232372"/>
    <w:rsid w:val="0023614E"/>
    <w:rsid w:val="00242448"/>
    <w:rsid w:val="00242FCF"/>
    <w:rsid w:val="00244D5D"/>
    <w:rsid w:val="0024770F"/>
    <w:rsid w:val="002505D2"/>
    <w:rsid w:val="00257333"/>
    <w:rsid w:val="00271CCF"/>
    <w:rsid w:val="00272583"/>
    <w:rsid w:val="00280B34"/>
    <w:rsid w:val="0028458B"/>
    <w:rsid w:val="002847EB"/>
    <w:rsid w:val="00285C00"/>
    <w:rsid w:val="00287110"/>
    <w:rsid w:val="002A079C"/>
    <w:rsid w:val="002A0D59"/>
    <w:rsid w:val="002A2CA5"/>
    <w:rsid w:val="002A67A2"/>
    <w:rsid w:val="002B2BBF"/>
    <w:rsid w:val="002C078A"/>
    <w:rsid w:val="002C1D56"/>
    <w:rsid w:val="002C29BC"/>
    <w:rsid w:val="002D2278"/>
    <w:rsid w:val="002D2975"/>
    <w:rsid w:val="002D2F39"/>
    <w:rsid w:val="002D559E"/>
    <w:rsid w:val="002D55B0"/>
    <w:rsid w:val="002D5A4F"/>
    <w:rsid w:val="002E4D22"/>
    <w:rsid w:val="002E5F1F"/>
    <w:rsid w:val="00303794"/>
    <w:rsid w:val="00306C17"/>
    <w:rsid w:val="00307009"/>
    <w:rsid w:val="00310F53"/>
    <w:rsid w:val="00314A92"/>
    <w:rsid w:val="003204E9"/>
    <w:rsid w:val="00322F3F"/>
    <w:rsid w:val="003321B6"/>
    <w:rsid w:val="0033472B"/>
    <w:rsid w:val="003348AF"/>
    <w:rsid w:val="003370A5"/>
    <w:rsid w:val="00343866"/>
    <w:rsid w:val="00345B1A"/>
    <w:rsid w:val="00350F90"/>
    <w:rsid w:val="0036390C"/>
    <w:rsid w:val="00364D22"/>
    <w:rsid w:val="003675DB"/>
    <w:rsid w:val="00370369"/>
    <w:rsid w:val="003739AA"/>
    <w:rsid w:val="0037557D"/>
    <w:rsid w:val="00376CD7"/>
    <w:rsid w:val="003816BF"/>
    <w:rsid w:val="00382552"/>
    <w:rsid w:val="003826D1"/>
    <w:rsid w:val="00382805"/>
    <w:rsid w:val="00391C63"/>
    <w:rsid w:val="00391DF1"/>
    <w:rsid w:val="003A154A"/>
    <w:rsid w:val="003A4C8F"/>
    <w:rsid w:val="003A5AE0"/>
    <w:rsid w:val="003A77CC"/>
    <w:rsid w:val="003B00DF"/>
    <w:rsid w:val="003B3DB9"/>
    <w:rsid w:val="003C64DC"/>
    <w:rsid w:val="003D124B"/>
    <w:rsid w:val="003D1651"/>
    <w:rsid w:val="003D4B3A"/>
    <w:rsid w:val="003D56BF"/>
    <w:rsid w:val="003D5F4B"/>
    <w:rsid w:val="003D7609"/>
    <w:rsid w:val="003E6063"/>
    <w:rsid w:val="003E75F3"/>
    <w:rsid w:val="003F4132"/>
    <w:rsid w:val="004009D8"/>
    <w:rsid w:val="004047C5"/>
    <w:rsid w:val="00404C8D"/>
    <w:rsid w:val="0040662D"/>
    <w:rsid w:val="00410B35"/>
    <w:rsid w:val="00411475"/>
    <w:rsid w:val="00417498"/>
    <w:rsid w:val="00427F72"/>
    <w:rsid w:val="00430DD7"/>
    <w:rsid w:val="00432CC3"/>
    <w:rsid w:val="00435159"/>
    <w:rsid w:val="0044039E"/>
    <w:rsid w:val="00454FBF"/>
    <w:rsid w:val="00456DAF"/>
    <w:rsid w:val="00457F1B"/>
    <w:rsid w:val="004610F5"/>
    <w:rsid w:val="004629ED"/>
    <w:rsid w:val="00470ABC"/>
    <w:rsid w:val="00471334"/>
    <w:rsid w:val="0048230E"/>
    <w:rsid w:val="00482968"/>
    <w:rsid w:val="004955F7"/>
    <w:rsid w:val="00495ED6"/>
    <w:rsid w:val="004B7E46"/>
    <w:rsid w:val="004C3FD5"/>
    <w:rsid w:val="004D375B"/>
    <w:rsid w:val="004D4C66"/>
    <w:rsid w:val="004E03E6"/>
    <w:rsid w:val="004E45AC"/>
    <w:rsid w:val="004E4CB2"/>
    <w:rsid w:val="004E6036"/>
    <w:rsid w:val="004F2D25"/>
    <w:rsid w:val="004F564B"/>
    <w:rsid w:val="004F7B33"/>
    <w:rsid w:val="00501DE6"/>
    <w:rsid w:val="0050606E"/>
    <w:rsid w:val="00507C17"/>
    <w:rsid w:val="0051030B"/>
    <w:rsid w:val="005115EE"/>
    <w:rsid w:val="00511CB3"/>
    <w:rsid w:val="00512342"/>
    <w:rsid w:val="0051476E"/>
    <w:rsid w:val="005150B5"/>
    <w:rsid w:val="00521355"/>
    <w:rsid w:val="00522035"/>
    <w:rsid w:val="005241C6"/>
    <w:rsid w:val="00526A34"/>
    <w:rsid w:val="005301B4"/>
    <w:rsid w:val="0053040E"/>
    <w:rsid w:val="00537061"/>
    <w:rsid w:val="00537D19"/>
    <w:rsid w:val="00537E17"/>
    <w:rsid w:val="0054227E"/>
    <w:rsid w:val="00547CD5"/>
    <w:rsid w:val="00560113"/>
    <w:rsid w:val="00562469"/>
    <w:rsid w:val="005654F8"/>
    <w:rsid w:val="0057560E"/>
    <w:rsid w:val="005810B3"/>
    <w:rsid w:val="00581674"/>
    <w:rsid w:val="00582E7D"/>
    <w:rsid w:val="00587B21"/>
    <w:rsid w:val="005904D1"/>
    <w:rsid w:val="0059455C"/>
    <w:rsid w:val="0059494F"/>
    <w:rsid w:val="005952C9"/>
    <w:rsid w:val="005956D6"/>
    <w:rsid w:val="00597D5E"/>
    <w:rsid w:val="005A1FD5"/>
    <w:rsid w:val="005A5D9E"/>
    <w:rsid w:val="005A68B3"/>
    <w:rsid w:val="005A7A6A"/>
    <w:rsid w:val="005A7F21"/>
    <w:rsid w:val="005B00C1"/>
    <w:rsid w:val="005B20B4"/>
    <w:rsid w:val="005B316F"/>
    <w:rsid w:val="005B54EA"/>
    <w:rsid w:val="005B5CBD"/>
    <w:rsid w:val="005B6BCD"/>
    <w:rsid w:val="005C2CCB"/>
    <w:rsid w:val="005D5F3B"/>
    <w:rsid w:val="005E353F"/>
    <w:rsid w:val="005E5456"/>
    <w:rsid w:val="005E69EA"/>
    <w:rsid w:val="005F7F56"/>
    <w:rsid w:val="00600762"/>
    <w:rsid w:val="006023E1"/>
    <w:rsid w:val="00603D72"/>
    <w:rsid w:val="00604716"/>
    <w:rsid w:val="00606D87"/>
    <w:rsid w:val="00611CD6"/>
    <w:rsid w:val="006162BA"/>
    <w:rsid w:val="00620BAA"/>
    <w:rsid w:val="006225BA"/>
    <w:rsid w:val="00623A07"/>
    <w:rsid w:val="00624747"/>
    <w:rsid w:val="006266FD"/>
    <w:rsid w:val="00630005"/>
    <w:rsid w:val="006323B6"/>
    <w:rsid w:val="00634B8D"/>
    <w:rsid w:val="00645BE6"/>
    <w:rsid w:val="00647400"/>
    <w:rsid w:val="0065036B"/>
    <w:rsid w:val="00650C00"/>
    <w:rsid w:val="00652C02"/>
    <w:rsid w:val="00653E89"/>
    <w:rsid w:val="00657F9D"/>
    <w:rsid w:val="00662327"/>
    <w:rsid w:val="00664565"/>
    <w:rsid w:val="00664668"/>
    <w:rsid w:val="00665ED2"/>
    <w:rsid w:val="00666408"/>
    <w:rsid w:val="00671E93"/>
    <w:rsid w:val="00672C90"/>
    <w:rsid w:val="00674100"/>
    <w:rsid w:val="00675512"/>
    <w:rsid w:val="00686857"/>
    <w:rsid w:val="00691DA2"/>
    <w:rsid w:val="006966DB"/>
    <w:rsid w:val="00696FEC"/>
    <w:rsid w:val="006A5693"/>
    <w:rsid w:val="006A79E9"/>
    <w:rsid w:val="006B3D9D"/>
    <w:rsid w:val="006B5ACD"/>
    <w:rsid w:val="006B78DB"/>
    <w:rsid w:val="006C33D0"/>
    <w:rsid w:val="006C7678"/>
    <w:rsid w:val="006C7BCC"/>
    <w:rsid w:val="006D59B0"/>
    <w:rsid w:val="006E07C1"/>
    <w:rsid w:val="006E6551"/>
    <w:rsid w:val="006E74B7"/>
    <w:rsid w:val="006F71C8"/>
    <w:rsid w:val="00701B06"/>
    <w:rsid w:val="00703B20"/>
    <w:rsid w:val="00704F25"/>
    <w:rsid w:val="00704F78"/>
    <w:rsid w:val="00705095"/>
    <w:rsid w:val="00713B0D"/>
    <w:rsid w:val="00717F11"/>
    <w:rsid w:val="00722065"/>
    <w:rsid w:val="00723132"/>
    <w:rsid w:val="00723AD9"/>
    <w:rsid w:val="00723D7A"/>
    <w:rsid w:val="00730D2F"/>
    <w:rsid w:val="00731E1A"/>
    <w:rsid w:val="00731EE8"/>
    <w:rsid w:val="0073233F"/>
    <w:rsid w:val="00732584"/>
    <w:rsid w:val="007335AA"/>
    <w:rsid w:val="00737E7C"/>
    <w:rsid w:val="007424D8"/>
    <w:rsid w:val="00742ADE"/>
    <w:rsid w:val="007445B8"/>
    <w:rsid w:val="00753E26"/>
    <w:rsid w:val="007567AE"/>
    <w:rsid w:val="00760040"/>
    <w:rsid w:val="00760D48"/>
    <w:rsid w:val="00765460"/>
    <w:rsid w:val="00773B82"/>
    <w:rsid w:val="00774A46"/>
    <w:rsid w:val="007818A9"/>
    <w:rsid w:val="007818B4"/>
    <w:rsid w:val="00786F2D"/>
    <w:rsid w:val="00787F71"/>
    <w:rsid w:val="00794CDD"/>
    <w:rsid w:val="0079772A"/>
    <w:rsid w:val="007A16A7"/>
    <w:rsid w:val="007A20C1"/>
    <w:rsid w:val="007A21DF"/>
    <w:rsid w:val="007A26E9"/>
    <w:rsid w:val="007A34FA"/>
    <w:rsid w:val="007A36D4"/>
    <w:rsid w:val="007A42D6"/>
    <w:rsid w:val="007A4CD5"/>
    <w:rsid w:val="007A6A93"/>
    <w:rsid w:val="007A7234"/>
    <w:rsid w:val="007B0579"/>
    <w:rsid w:val="007B35D1"/>
    <w:rsid w:val="007B4E81"/>
    <w:rsid w:val="007D65B7"/>
    <w:rsid w:val="007E06E7"/>
    <w:rsid w:val="007E4BC3"/>
    <w:rsid w:val="007E5743"/>
    <w:rsid w:val="007F35E3"/>
    <w:rsid w:val="0080116A"/>
    <w:rsid w:val="00803421"/>
    <w:rsid w:val="008062EE"/>
    <w:rsid w:val="00812E26"/>
    <w:rsid w:val="0081323F"/>
    <w:rsid w:val="0081664B"/>
    <w:rsid w:val="008170DF"/>
    <w:rsid w:val="00820B48"/>
    <w:rsid w:val="00824039"/>
    <w:rsid w:val="00825DF8"/>
    <w:rsid w:val="008328C3"/>
    <w:rsid w:val="0083489B"/>
    <w:rsid w:val="00852B95"/>
    <w:rsid w:val="0085614F"/>
    <w:rsid w:val="00860453"/>
    <w:rsid w:val="0086189C"/>
    <w:rsid w:val="00861F83"/>
    <w:rsid w:val="0086247F"/>
    <w:rsid w:val="00865469"/>
    <w:rsid w:val="00867706"/>
    <w:rsid w:val="00870300"/>
    <w:rsid w:val="00871A5B"/>
    <w:rsid w:val="00873ABC"/>
    <w:rsid w:val="008745AF"/>
    <w:rsid w:val="0087552F"/>
    <w:rsid w:val="0088133B"/>
    <w:rsid w:val="00891166"/>
    <w:rsid w:val="008953CC"/>
    <w:rsid w:val="008955CF"/>
    <w:rsid w:val="00895A6F"/>
    <w:rsid w:val="008960D6"/>
    <w:rsid w:val="008966CE"/>
    <w:rsid w:val="00897B7D"/>
    <w:rsid w:val="008A64E2"/>
    <w:rsid w:val="008A6E15"/>
    <w:rsid w:val="008A7199"/>
    <w:rsid w:val="008B5708"/>
    <w:rsid w:val="008B6E37"/>
    <w:rsid w:val="008B7441"/>
    <w:rsid w:val="008C2E9A"/>
    <w:rsid w:val="008C574C"/>
    <w:rsid w:val="008C66A2"/>
    <w:rsid w:val="008D3941"/>
    <w:rsid w:val="008D3D51"/>
    <w:rsid w:val="008D42CC"/>
    <w:rsid w:val="008D47F7"/>
    <w:rsid w:val="008D5664"/>
    <w:rsid w:val="008D75E5"/>
    <w:rsid w:val="008E170B"/>
    <w:rsid w:val="008E27D2"/>
    <w:rsid w:val="008E3667"/>
    <w:rsid w:val="008E3FF2"/>
    <w:rsid w:val="008F1F42"/>
    <w:rsid w:val="008F401F"/>
    <w:rsid w:val="008F6890"/>
    <w:rsid w:val="008F6EA2"/>
    <w:rsid w:val="008F7A48"/>
    <w:rsid w:val="0090065E"/>
    <w:rsid w:val="00904A8C"/>
    <w:rsid w:val="009077BA"/>
    <w:rsid w:val="00912B29"/>
    <w:rsid w:val="00915859"/>
    <w:rsid w:val="00916890"/>
    <w:rsid w:val="00921683"/>
    <w:rsid w:val="00922111"/>
    <w:rsid w:val="009236F1"/>
    <w:rsid w:val="00930D78"/>
    <w:rsid w:val="009319C5"/>
    <w:rsid w:val="00931D0B"/>
    <w:rsid w:val="009346FE"/>
    <w:rsid w:val="00935C37"/>
    <w:rsid w:val="00940BB3"/>
    <w:rsid w:val="0094123B"/>
    <w:rsid w:val="009415D0"/>
    <w:rsid w:val="00941F7E"/>
    <w:rsid w:val="00953EAE"/>
    <w:rsid w:val="00955DF7"/>
    <w:rsid w:val="0096105E"/>
    <w:rsid w:val="00961B7C"/>
    <w:rsid w:val="00963787"/>
    <w:rsid w:val="009645BE"/>
    <w:rsid w:val="00971979"/>
    <w:rsid w:val="0097252E"/>
    <w:rsid w:val="00974FD7"/>
    <w:rsid w:val="00975767"/>
    <w:rsid w:val="009764D7"/>
    <w:rsid w:val="0097674F"/>
    <w:rsid w:val="00976E40"/>
    <w:rsid w:val="00977038"/>
    <w:rsid w:val="00983EE9"/>
    <w:rsid w:val="00985161"/>
    <w:rsid w:val="00986A57"/>
    <w:rsid w:val="009916E5"/>
    <w:rsid w:val="009971BD"/>
    <w:rsid w:val="009A2D0D"/>
    <w:rsid w:val="009B0097"/>
    <w:rsid w:val="009B045C"/>
    <w:rsid w:val="009B17BB"/>
    <w:rsid w:val="009C0676"/>
    <w:rsid w:val="009C4C34"/>
    <w:rsid w:val="009C75D4"/>
    <w:rsid w:val="009D04C0"/>
    <w:rsid w:val="009D0648"/>
    <w:rsid w:val="009D2385"/>
    <w:rsid w:val="009D47DE"/>
    <w:rsid w:val="009E24E8"/>
    <w:rsid w:val="009E4DC3"/>
    <w:rsid w:val="009E68FA"/>
    <w:rsid w:val="009F03F8"/>
    <w:rsid w:val="009F0F62"/>
    <w:rsid w:val="009F18C8"/>
    <w:rsid w:val="009F3C76"/>
    <w:rsid w:val="009F4159"/>
    <w:rsid w:val="009F4F2C"/>
    <w:rsid w:val="009F683D"/>
    <w:rsid w:val="00A001C8"/>
    <w:rsid w:val="00A027D3"/>
    <w:rsid w:val="00A03255"/>
    <w:rsid w:val="00A14763"/>
    <w:rsid w:val="00A14D0B"/>
    <w:rsid w:val="00A14E29"/>
    <w:rsid w:val="00A16270"/>
    <w:rsid w:val="00A16740"/>
    <w:rsid w:val="00A21141"/>
    <w:rsid w:val="00A2184B"/>
    <w:rsid w:val="00A22863"/>
    <w:rsid w:val="00A3655A"/>
    <w:rsid w:val="00A37061"/>
    <w:rsid w:val="00A45F14"/>
    <w:rsid w:val="00A51B7E"/>
    <w:rsid w:val="00A55D56"/>
    <w:rsid w:val="00A5679E"/>
    <w:rsid w:val="00A6306D"/>
    <w:rsid w:val="00A63997"/>
    <w:rsid w:val="00A6501D"/>
    <w:rsid w:val="00A7432B"/>
    <w:rsid w:val="00A76C3D"/>
    <w:rsid w:val="00A84DFF"/>
    <w:rsid w:val="00A84EE9"/>
    <w:rsid w:val="00A8668D"/>
    <w:rsid w:val="00A87801"/>
    <w:rsid w:val="00A91BAE"/>
    <w:rsid w:val="00A926A5"/>
    <w:rsid w:val="00A95CE1"/>
    <w:rsid w:val="00A96081"/>
    <w:rsid w:val="00AA30A6"/>
    <w:rsid w:val="00AA7593"/>
    <w:rsid w:val="00AA7936"/>
    <w:rsid w:val="00AB1ED0"/>
    <w:rsid w:val="00AB7269"/>
    <w:rsid w:val="00AC3AFF"/>
    <w:rsid w:val="00AC5382"/>
    <w:rsid w:val="00AC6A3E"/>
    <w:rsid w:val="00AC7111"/>
    <w:rsid w:val="00AD772E"/>
    <w:rsid w:val="00AE01CC"/>
    <w:rsid w:val="00AE10DF"/>
    <w:rsid w:val="00AE14A9"/>
    <w:rsid w:val="00AE2EB0"/>
    <w:rsid w:val="00AE3357"/>
    <w:rsid w:val="00AE676B"/>
    <w:rsid w:val="00AE6B75"/>
    <w:rsid w:val="00AF4AF5"/>
    <w:rsid w:val="00B01333"/>
    <w:rsid w:val="00B06CF4"/>
    <w:rsid w:val="00B16BE6"/>
    <w:rsid w:val="00B20026"/>
    <w:rsid w:val="00B21052"/>
    <w:rsid w:val="00B219C1"/>
    <w:rsid w:val="00B225CA"/>
    <w:rsid w:val="00B2504B"/>
    <w:rsid w:val="00B25B41"/>
    <w:rsid w:val="00B26469"/>
    <w:rsid w:val="00B36DFC"/>
    <w:rsid w:val="00B37615"/>
    <w:rsid w:val="00B40B97"/>
    <w:rsid w:val="00B426B9"/>
    <w:rsid w:val="00B43A8C"/>
    <w:rsid w:val="00B43BB2"/>
    <w:rsid w:val="00B46DE8"/>
    <w:rsid w:val="00B474AC"/>
    <w:rsid w:val="00B50477"/>
    <w:rsid w:val="00B53338"/>
    <w:rsid w:val="00B54783"/>
    <w:rsid w:val="00B553E5"/>
    <w:rsid w:val="00B561A5"/>
    <w:rsid w:val="00B605B4"/>
    <w:rsid w:val="00B613B7"/>
    <w:rsid w:val="00B70E60"/>
    <w:rsid w:val="00B7285A"/>
    <w:rsid w:val="00B7302D"/>
    <w:rsid w:val="00B75A33"/>
    <w:rsid w:val="00B768A4"/>
    <w:rsid w:val="00B76A08"/>
    <w:rsid w:val="00B81835"/>
    <w:rsid w:val="00B82789"/>
    <w:rsid w:val="00B86097"/>
    <w:rsid w:val="00B86D41"/>
    <w:rsid w:val="00B95FA4"/>
    <w:rsid w:val="00B97119"/>
    <w:rsid w:val="00BA0357"/>
    <w:rsid w:val="00BA71EC"/>
    <w:rsid w:val="00BA78BC"/>
    <w:rsid w:val="00BA7C4E"/>
    <w:rsid w:val="00BB4C0F"/>
    <w:rsid w:val="00BB735E"/>
    <w:rsid w:val="00BC2F9B"/>
    <w:rsid w:val="00BC65D3"/>
    <w:rsid w:val="00BC662F"/>
    <w:rsid w:val="00BD316E"/>
    <w:rsid w:val="00BD5810"/>
    <w:rsid w:val="00BE0C13"/>
    <w:rsid w:val="00BE2EDA"/>
    <w:rsid w:val="00BE4395"/>
    <w:rsid w:val="00BE6CDB"/>
    <w:rsid w:val="00BE6E43"/>
    <w:rsid w:val="00BF6B82"/>
    <w:rsid w:val="00BF6C39"/>
    <w:rsid w:val="00C0179F"/>
    <w:rsid w:val="00C14616"/>
    <w:rsid w:val="00C148B8"/>
    <w:rsid w:val="00C1707E"/>
    <w:rsid w:val="00C1730B"/>
    <w:rsid w:val="00C22687"/>
    <w:rsid w:val="00C23A1B"/>
    <w:rsid w:val="00C32004"/>
    <w:rsid w:val="00C37436"/>
    <w:rsid w:val="00C374FD"/>
    <w:rsid w:val="00C3795C"/>
    <w:rsid w:val="00C40EEE"/>
    <w:rsid w:val="00C4115D"/>
    <w:rsid w:val="00C43BF7"/>
    <w:rsid w:val="00C46C5B"/>
    <w:rsid w:val="00C51141"/>
    <w:rsid w:val="00C5198C"/>
    <w:rsid w:val="00C559E5"/>
    <w:rsid w:val="00C65E87"/>
    <w:rsid w:val="00C665A8"/>
    <w:rsid w:val="00C70F28"/>
    <w:rsid w:val="00C72DF3"/>
    <w:rsid w:val="00C740CE"/>
    <w:rsid w:val="00C744E4"/>
    <w:rsid w:val="00C7521D"/>
    <w:rsid w:val="00C86C66"/>
    <w:rsid w:val="00C94523"/>
    <w:rsid w:val="00C958C6"/>
    <w:rsid w:val="00C961D4"/>
    <w:rsid w:val="00C96590"/>
    <w:rsid w:val="00C96BC4"/>
    <w:rsid w:val="00C9745E"/>
    <w:rsid w:val="00CA56C6"/>
    <w:rsid w:val="00CC0F05"/>
    <w:rsid w:val="00CC1D13"/>
    <w:rsid w:val="00CC1F4B"/>
    <w:rsid w:val="00CC7742"/>
    <w:rsid w:val="00CD73D6"/>
    <w:rsid w:val="00CE15F2"/>
    <w:rsid w:val="00CE2587"/>
    <w:rsid w:val="00CE4FEC"/>
    <w:rsid w:val="00CE6996"/>
    <w:rsid w:val="00CF2B60"/>
    <w:rsid w:val="00CF44AE"/>
    <w:rsid w:val="00CF6D18"/>
    <w:rsid w:val="00CF6DC0"/>
    <w:rsid w:val="00D04D02"/>
    <w:rsid w:val="00D04DE7"/>
    <w:rsid w:val="00D078C6"/>
    <w:rsid w:val="00D134DF"/>
    <w:rsid w:val="00D1511D"/>
    <w:rsid w:val="00D20ED6"/>
    <w:rsid w:val="00D21E88"/>
    <w:rsid w:val="00D2336F"/>
    <w:rsid w:val="00D23D27"/>
    <w:rsid w:val="00D25119"/>
    <w:rsid w:val="00D40A16"/>
    <w:rsid w:val="00D43FB4"/>
    <w:rsid w:val="00D443D5"/>
    <w:rsid w:val="00D444F6"/>
    <w:rsid w:val="00D445D5"/>
    <w:rsid w:val="00D458E8"/>
    <w:rsid w:val="00D47226"/>
    <w:rsid w:val="00D538FC"/>
    <w:rsid w:val="00D53E49"/>
    <w:rsid w:val="00D55A56"/>
    <w:rsid w:val="00D55AFB"/>
    <w:rsid w:val="00D6474A"/>
    <w:rsid w:val="00D663E3"/>
    <w:rsid w:val="00D670CA"/>
    <w:rsid w:val="00D728EF"/>
    <w:rsid w:val="00D743A2"/>
    <w:rsid w:val="00D75AA2"/>
    <w:rsid w:val="00D81206"/>
    <w:rsid w:val="00D81846"/>
    <w:rsid w:val="00D82319"/>
    <w:rsid w:val="00D831B4"/>
    <w:rsid w:val="00D844F6"/>
    <w:rsid w:val="00D8668F"/>
    <w:rsid w:val="00D868BE"/>
    <w:rsid w:val="00D9032A"/>
    <w:rsid w:val="00D96299"/>
    <w:rsid w:val="00D978B7"/>
    <w:rsid w:val="00DA381B"/>
    <w:rsid w:val="00DB69ED"/>
    <w:rsid w:val="00DC28FF"/>
    <w:rsid w:val="00DC50F8"/>
    <w:rsid w:val="00DC6142"/>
    <w:rsid w:val="00DC6BA6"/>
    <w:rsid w:val="00DD0E8A"/>
    <w:rsid w:val="00DD3B00"/>
    <w:rsid w:val="00DD60F1"/>
    <w:rsid w:val="00DD69BD"/>
    <w:rsid w:val="00DD6CD5"/>
    <w:rsid w:val="00DD6D6B"/>
    <w:rsid w:val="00DE154D"/>
    <w:rsid w:val="00DE723C"/>
    <w:rsid w:val="00DF2BC1"/>
    <w:rsid w:val="00DF6726"/>
    <w:rsid w:val="00DF79B0"/>
    <w:rsid w:val="00E07E51"/>
    <w:rsid w:val="00E119AC"/>
    <w:rsid w:val="00E13379"/>
    <w:rsid w:val="00E15C47"/>
    <w:rsid w:val="00E25D34"/>
    <w:rsid w:val="00E35329"/>
    <w:rsid w:val="00E35994"/>
    <w:rsid w:val="00E46FB9"/>
    <w:rsid w:val="00E55BE5"/>
    <w:rsid w:val="00E57AA6"/>
    <w:rsid w:val="00E60AA3"/>
    <w:rsid w:val="00E62FC6"/>
    <w:rsid w:val="00E64A70"/>
    <w:rsid w:val="00E65165"/>
    <w:rsid w:val="00E65E0F"/>
    <w:rsid w:val="00E70B0B"/>
    <w:rsid w:val="00E773CE"/>
    <w:rsid w:val="00E810B2"/>
    <w:rsid w:val="00E826EC"/>
    <w:rsid w:val="00E926EE"/>
    <w:rsid w:val="00E94F72"/>
    <w:rsid w:val="00E96818"/>
    <w:rsid w:val="00EA17FB"/>
    <w:rsid w:val="00EA45FB"/>
    <w:rsid w:val="00EA4654"/>
    <w:rsid w:val="00EA5E72"/>
    <w:rsid w:val="00EB01E4"/>
    <w:rsid w:val="00EB5BF9"/>
    <w:rsid w:val="00EB7A6A"/>
    <w:rsid w:val="00ED0204"/>
    <w:rsid w:val="00ED0A33"/>
    <w:rsid w:val="00ED0BCD"/>
    <w:rsid w:val="00ED1CE8"/>
    <w:rsid w:val="00ED2352"/>
    <w:rsid w:val="00ED3122"/>
    <w:rsid w:val="00EE1844"/>
    <w:rsid w:val="00EE4320"/>
    <w:rsid w:val="00EE5946"/>
    <w:rsid w:val="00EE63FD"/>
    <w:rsid w:val="00EE7103"/>
    <w:rsid w:val="00EE723F"/>
    <w:rsid w:val="00EF1D6A"/>
    <w:rsid w:val="00EF7F7B"/>
    <w:rsid w:val="00F022BF"/>
    <w:rsid w:val="00F03A13"/>
    <w:rsid w:val="00F10963"/>
    <w:rsid w:val="00F1223A"/>
    <w:rsid w:val="00F15C00"/>
    <w:rsid w:val="00F21166"/>
    <w:rsid w:val="00F25A0F"/>
    <w:rsid w:val="00F326F6"/>
    <w:rsid w:val="00F33F44"/>
    <w:rsid w:val="00F36879"/>
    <w:rsid w:val="00F41C2A"/>
    <w:rsid w:val="00F42996"/>
    <w:rsid w:val="00F44155"/>
    <w:rsid w:val="00F44E4D"/>
    <w:rsid w:val="00F532A8"/>
    <w:rsid w:val="00F57705"/>
    <w:rsid w:val="00F673CE"/>
    <w:rsid w:val="00F7260C"/>
    <w:rsid w:val="00F7351E"/>
    <w:rsid w:val="00F74A3F"/>
    <w:rsid w:val="00F75A48"/>
    <w:rsid w:val="00F806CC"/>
    <w:rsid w:val="00F868F0"/>
    <w:rsid w:val="00F9037D"/>
    <w:rsid w:val="00F90F5B"/>
    <w:rsid w:val="00F917DE"/>
    <w:rsid w:val="00F923AA"/>
    <w:rsid w:val="00F93E77"/>
    <w:rsid w:val="00F94327"/>
    <w:rsid w:val="00F945BD"/>
    <w:rsid w:val="00F95620"/>
    <w:rsid w:val="00F96FF7"/>
    <w:rsid w:val="00FA1392"/>
    <w:rsid w:val="00FA7103"/>
    <w:rsid w:val="00FA714D"/>
    <w:rsid w:val="00FA7768"/>
    <w:rsid w:val="00FB10D2"/>
    <w:rsid w:val="00FB2C3A"/>
    <w:rsid w:val="00FB4C91"/>
    <w:rsid w:val="00FB4D3D"/>
    <w:rsid w:val="00FB7CC0"/>
    <w:rsid w:val="00FC0F50"/>
    <w:rsid w:val="00FC2209"/>
    <w:rsid w:val="00FC3584"/>
    <w:rsid w:val="00FC4BD9"/>
    <w:rsid w:val="00FD0108"/>
    <w:rsid w:val="00FE29B6"/>
    <w:rsid w:val="00FE5AC8"/>
    <w:rsid w:val="00FE6863"/>
    <w:rsid w:val="00FE6937"/>
    <w:rsid w:val="00FE714E"/>
    <w:rsid w:val="00FE79E0"/>
    <w:rsid w:val="00FF0283"/>
    <w:rsid w:val="00FF0E42"/>
    <w:rsid w:val="00FF2CB5"/>
    <w:rsid w:val="00FF450E"/>
    <w:rsid w:val="00FF61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toc 1" w:uiPriority="39" w:qFormat="1"/>
    <w:lsdException w:name="toc 2" w:uiPriority="39" w:qFormat="1"/>
    <w:lsdException w:name="Normal Indent" w:qFormat="1"/>
    <w:lsdException w:name="footer" w:qFormat="1"/>
    <w:lsdException w:name="caption" w:semiHidden="1"/>
    <w:lsdException w:name="page number" w:qFormat="1"/>
    <w:lsdException w:name="Title" w:qFormat="1"/>
    <w:lsdException w:name="Body Text" w:qFormat="1"/>
    <w:lsdException w:name="Body Text Indent" w:qFormat="1"/>
    <w:lsdException w:name="Hyperlink"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atentStyles>
  <w:style w:type="paragraph" w:default="1" w:styleId="Normal">
    <w:name w:val="Normal"/>
    <w:qFormat/>
    <w:rsid w:val="0096105E"/>
    <w:pPr>
      <w:spacing w:before="100" w:line="288" w:lineRule="auto"/>
    </w:pPr>
  </w:style>
  <w:style w:type="paragraph" w:styleId="Heading1">
    <w:name w:val="heading 1"/>
    <w:basedOn w:val="Normal"/>
    <w:next w:val="Normal"/>
    <w:semiHidden/>
    <w:pPr>
      <w:outlineLvl w:val="0"/>
    </w:pPr>
  </w:style>
  <w:style w:type="paragraph" w:styleId="Heading2">
    <w:name w:val="heading 2"/>
    <w:basedOn w:val="Normal"/>
    <w:next w:val="NormalIndent"/>
    <w:semiHidden/>
    <w:pPr>
      <w:outlineLvl w:val="1"/>
    </w:pPr>
  </w:style>
  <w:style w:type="paragraph" w:styleId="Heading3">
    <w:name w:val="heading 3"/>
    <w:basedOn w:val="Normal"/>
    <w:semiHidden/>
    <w:pPr>
      <w:outlineLvl w:val="2"/>
    </w:pPr>
  </w:style>
  <w:style w:type="paragraph" w:styleId="Heading4">
    <w:name w:val="heading 4"/>
    <w:basedOn w:val="Normal"/>
    <w:semiHidden/>
    <w:pPr>
      <w:outlineLvl w:val="3"/>
    </w:pPr>
  </w:style>
  <w:style w:type="paragraph" w:styleId="Heading5">
    <w:name w:val="heading 5"/>
    <w:basedOn w:val="Normal"/>
    <w:semiHidden/>
    <w:pPr>
      <w:outlineLvl w:val="4"/>
    </w:pPr>
  </w:style>
  <w:style w:type="paragraph" w:styleId="Heading6">
    <w:name w:val="heading 6"/>
    <w:basedOn w:val="Normal"/>
    <w:semiHidden/>
    <w:pPr>
      <w:outlineLvl w:val="5"/>
    </w:pPr>
  </w:style>
  <w:style w:type="paragraph" w:styleId="Heading7">
    <w:name w:val="heading 7"/>
    <w:basedOn w:val="Normal"/>
    <w:next w:val="Normal"/>
    <w:semiHidden/>
    <w:pPr>
      <w:outlineLvl w:val="6"/>
    </w:pPr>
  </w:style>
  <w:style w:type="paragraph" w:styleId="Heading8">
    <w:name w:val="heading 8"/>
    <w:basedOn w:val="Normal"/>
    <w:next w:val="Normal"/>
    <w:semiHidden/>
    <w:pPr>
      <w:outlineLvl w:val="7"/>
    </w:pPr>
  </w:style>
  <w:style w:type="paragraph" w:styleId="Heading9">
    <w:name w:val="heading 9"/>
    <w:basedOn w:val="Normal"/>
    <w:next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left="709"/>
    </w:pPr>
  </w:style>
  <w:style w:type="character" w:customStyle="1" w:styleId="AuthorNote">
    <w:name w:val="Author Note"/>
    <w:aliases w:val="AN"/>
    <w:uiPriority w:val="1"/>
    <w:qFormat/>
    <w:rsid w:val="008F401F"/>
    <w:rPr>
      <w:rFonts w:ascii="Arial" w:hAnsi="Arial"/>
      <w:b/>
      <w:vanish/>
      <w:color w:val="0074BF"/>
      <w:sz w:val="20"/>
    </w:rPr>
  </w:style>
  <w:style w:type="paragraph" w:styleId="BodyText">
    <w:name w:val="Body Text"/>
    <w:basedOn w:val="Normal"/>
    <w:qFormat/>
    <w:pPr>
      <w:spacing w:before="0" w:line="240" w:lineRule="auto"/>
    </w:pPr>
  </w:style>
  <w:style w:type="paragraph" w:styleId="BodyTextIndent">
    <w:name w:val="Body Text Indent"/>
    <w:basedOn w:val="BodyText"/>
    <w:qFormat/>
    <w:pPr>
      <w:ind w:left="709"/>
    </w:pPr>
  </w:style>
  <w:style w:type="paragraph" w:customStyle="1" w:styleId="Bullet1">
    <w:name w:val="Bullet 1"/>
    <w:basedOn w:val="Normal"/>
    <w:qFormat/>
    <w:pPr>
      <w:numPr>
        <w:numId w:val="1"/>
      </w:numPr>
    </w:pPr>
  </w:style>
  <w:style w:type="paragraph" w:customStyle="1" w:styleId="Bullet2">
    <w:name w:val="Bullet 2"/>
    <w:basedOn w:val="Normal"/>
    <w:qFormat/>
    <w:pPr>
      <w:numPr>
        <w:numId w:val="2"/>
      </w:numPr>
    </w:pPr>
  </w:style>
  <w:style w:type="paragraph" w:customStyle="1" w:styleId="Bullet3">
    <w:name w:val="Bullet 3"/>
    <w:basedOn w:val="Normal"/>
    <w:qFormat/>
    <w:pPr>
      <w:numPr>
        <w:numId w:val="3"/>
      </w:numPr>
    </w:pPr>
  </w:style>
  <w:style w:type="paragraph" w:styleId="Footer">
    <w:name w:val="footer"/>
    <w:basedOn w:val="Normal"/>
    <w:qFormat/>
    <w:pPr>
      <w:spacing w:before="40" w:line="240" w:lineRule="auto"/>
    </w:pPr>
    <w:rPr>
      <w:noProof/>
      <w:sz w:val="16"/>
    </w:rPr>
  </w:style>
  <w:style w:type="paragraph" w:customStyle="1" w:styleId="Definitions">
    <w:name w:val="Definitions"/>
    <w:basedOn w:val="NormalIndent"/>
    <w:qFormat/>
    <w:rsid w:val="00774A46"/>
    <w:pPr>
      <w:numPr>
        <w:numId w:val="11"/>
      </w:numPr>
      <w:ind w:left="709" w:firstLine="0"/>
    </w:pPr>
  </w:style>
  <w:style w:type="paragraph" w:customStyle="1" w:styleId="GNHeading">
    <w:name w:val="GN Heading"/>
    <w:basedOn w:val="Normal"/>
    <w:next w:val="GNNormalIndent"/>
    <w:uiPriority w:val="1"/>
    <w:qFormat/>
    <w:rsid w:val="008F401F"/>
    <w:pPr>
      <w:keepNext/>
      <w:numPr>
        <w:numId w:val="8"/>
      </w:numPr>
      <w:spacing w:before="200" w:line="240" w:lineRule="auto"/>
    </w:pPr>
    <w:rPr>
      <w:b/>
      <w:vanish/>
      <w:color w:val="000080"/>
    </w:rPr>
  </w:style>
  <w:style w:type="paragraph" w:customStyle="1" w:styleId="GNNormalIndent">
    <w:name w:val="GN Normal Indent"/>
    <w:basedOn w:val="GNNormal"/>
    <w:uiPriority w:val="1"/>
    <w:qFormat/>
    <w:pPr>
      <w:ind w:left="709"/>
    </w:pPr>
  </w:style>
  <w:style w:type="paragraph" w:customStyle="1" w:styleId="GNNormal">
    <w:name w:val="GN Normal"/>
    <w:basedOn w:val="Normal"/>
    <w:uiPriority w:val="1"/>
    <w:qFormat/>
    <w:pPr>
      <w:spacing w:line="240" w:lineRule="auto"/>
    </w:pPr>
    <w:rPr>
      <w:vanish/>
      <w:color w:val="000080"/>
    </w:rPr>
  </w:style>
  <w:style w:type="paragraph" w:customStyle="1" w:styleId="GNLevel1">
    <w:name w:val="GN Level 1"/>
    <w:basedOn w:val="Normal"/>
    <w:uiPriority w:val="1"/>
    <w:qFormat/>
    <w:rsid w:val="000E46B2"/>
    <w:pPr>
      <w:numPr>
        <w:numId w:val="4"/>
      </w:numPr>
      <w:spacing w:line="240" w:lineRule="auto"/>
    </w:pPr>
    <w:rPr>
      <w:vanish/>
      <w:color w:val="000080"/>
    </w:rPr>
  </w:style>
  <w:style w:type="paragraph" w:customStyle="1" w:styleId="GNLevel2">
    <w:name w:val="GN Level 2"/>
    <w:basedOn w:val="Normal"/>
    <w:uiPriority w:val="1"/>
    <w:qFormat/>
    <w:rsid w:val="000E46B2"/>
    <w:pPr>
      <w:numPr>
        <w:ilvl w:val="1"/>
        <w:numId w:val="4"/>
      </w:numPr>
      <w:spacing w:line="240" w:lineRule="auto"/>
    </w:pPr>
    <w:rPr>
      <w:vanish/>
      <w:color w:val="000080"/>
    </w:rPr>
  </w:style>
  <w:style w:type="paragraph" w:styleId="Header">
    <w:name w:val="header"/>
    <w:basedOn w:val="Normal"/>
    <w:semiHidden/>
    <w:rsid w:val="00EA5E72"/>
    <w:pPr>
      <w:spacing w:before="0" w:line="240" w:lineRule="auto"/>
    </w:pPr>
    <w:rPr>
      <w:noProof/>
      <w:sz w:val="16"/>
    </w:rPr>
  </w:style>
  <w:style w:type="paragraph" w:customStyle="1" w:styleId="HeaderTitle">
    <w:name w:val="Header Title"/>
    <w:basedOn w:val="Normal"/>
    <w:qFormat/>
    <w:rsid w:val="00861F83"/>
    <w:pPr>
      <w:spacing w:line="240" w:lineRule="auto"/>
    </w:pPr>
    <w:rPr>
      <w:noProof/>
    </w:rPr>
  </w:style>
  <w:style w:type="paragraph" w:customStyle="1" w:styleId="Definitionsa">
    <w:name w:val="Definitions (a)"/>
    <w:basedOn w:val="Normal"/>
    <w:qFormat/>
    <w:rsid w:val="0079772A"/>
    <w:pPr>
      <w:numPr>
        <w:ilvl w:val="1"/>
        <w:numId w:val="11"/>
      </w:numPr>
    </w:pPr>
  </w:style>
  <w:style w:type="paragraph" w:customStyle="1" w:styleId="level1">
    <w:name w:val="level1"/>
    <w:basedOn w:val="Normal"/>
    <w:qFormat/>
    <w:rsid w:val="008F401F"/>
    <w:pPr>
      <w:numPr>
        <w:numId w:val="9"/>
      </w:numPr>
    </w:pPr>
  </w:style>
  <w:style w:type="paragraph" w:customStyle="1" w:styleId="level2">
    <w:name w:val="level2"/>
    <w:basedOn w:val="Normal"/>
    <w:qFormat/>
    <w:pPr>
      <w:numPr>
        <w:ilvl w:val="1"/>
        <w:numId w:val="9"/>
      </w:numPr>
    </w:pPr>
  </w:style>
  <w:style w:type="paragraph" w:customStyle="1" w:styleId="level3">
    <w:name w:val="level3"/>
    <w:basedOn w:val="Normal"/>
    <w:qFormat/>
    <w:pPr>
      <w:numPr>
        <w:ilvl w:val="2"/>
        <w:numId w:val="9"/>
      </w:numPr>
    </w:pPr>
  </w:style>
  <w:style w:type="paragraph" w:customStyle="1" w:styleId="level4">
    <w:name w:val="level4"/>
    <w:basedOn w:val="Normal"/>
    <w:qFormat/>
    <w:pPr>
      <w:numPr>
        <w:ilvl w:val="3"/>
        <w:numId w:val="9"/>
      </w:numPr>
    </w:pPr>
  </w:style>
  <w:style w:type="paragraph" w:customStyle="1" w:styleId="level5">
    <w:name w:val="level5"/>
    <w:basedOn w:val="Normal"/>
    <w:qFormat/>
    <w:pPr>
      <w:numPr>
        <w:ilvl w:val="4"/>
        <w:numId w:val="9"/>
      </w:numPr>
    </w:pPr>
  </w:style>
  <w:style w:type="paragraph" w:customStyle="1" w:styleId="level6">
    <w:name w:val="level6"/>
    <w:basedOn w:val="Normal"/>
    <w:qFormat/>
    <w:pPr>
      <w:numPr>
        <w:ilvl w:val="5"/>
        <w:numId w:val="9"/>
      </w:numPr>
    </w:pPr>
  </w:style>
  <w:style w:type="character" w:styleId="PageNumber">
    <w:name w:val="page number"/>
    <w:semiHidden/>
    <w:qFormat/>
    <w:rPr>
      <w:sz w:val="16"/>
    </w:rPr>
  </w:style>
  <w:style w:type="character" w:styleId="Hyperlink">
    <w:name w:val="Hyperlink"/>
    <w:uiPriority w:val="99"/>
    <w:rsid w:val="0028458B"/>
    <w:rPr>
      <w:color w:val="0000FF"/>
      <w:u w:val="single"/>
    </w:rPr>
  </w:style>
  <w:style w:type="paragraph" w:customStyle="1" w:styleId="Schedule">
    <w:name w:val="Schedule"/>
    <w:basedOn w:val="Normal"/>
    <w:next w:val="ScheduleHeading"/>
    <w:qFormat/>
    <w:rsid w:val="00D458E8"/>
    <w:pPr>
      <w:keepNext/>
      <w:numPr>
        <w:numId w:val="6"/>
      </w:numPr>
      <w:spacing w:before="200"/>
      <w:ind w:left="0" w:firstLine="0"/>
      <w:outlineLvl w:val="0"/>
    </w:pPr>
    <w:rPr>
      <w:b/>
      <w:sz w:val="22"/>
    </w:rPr>
  </w:style>
  <w:style w:type="paragraph" w:customStyle="1" w:styleId="ScheduleHeading">
    <w:name w:val="Schedule Heading"/>
    <w:basedOn w:val="Normal"/>
    <w:next w:val="Schedule1"/>
    <w:qFormat/>
    <w:rsid w:val="00A21141"/>
    <w:pPr>
      <w:keepNext/>
      <w:numPr>
        <w:ilvl w:val="1"/>
        <w:numId w:val="6"/>
      </w:numPr>
      <w:spacing w:before="160"/>
      <w:ind w:left="0" w:firstLine="0"/>
      <w:outlineLvl w:val="1"/>
    </w:pPr>
    <w:rPr>
      <w:b/>
      <w:sz w:val="22"/>
    </w:rPr>
  </w:style>
  <w:style w:type="paragraph" w:customStyle="1" w:styleId="Schedule1">
    <w:name w:val="Schedule 1"/>
    <w:basedOn w:val="Normal"/>
    <w:next w:val="Schedule2"/>
    <w:qFormat/>
    <w:rsid w:val="006B5ACD"/>
    <w:pPr>
      <w:keepNext/>
      <w:numPr>
        <w:ilvl w:val="2"/>
        <w:numId w:val="6"/>
      </w:numPr>
      <w:spacing w:before="200"/>
    </w:pPr>
    <w:rPr>
      <w:b/>
      <w:sz w:val="22"/>
    </w:rPr>
  </w:style>
  <w:style w:type="paragraph" w:customStyle="1" w:styleId="Schedule2">
    <w:name w:val="Schedule 2"/>
    <w:basedOn w:val="Normal"/>
    <w:next w:val="NormalIndent"/>
    <w:qFormat/>
    <w:rsid w:val="006B5ACD"/>
    <w:pPr>
      <w:keepNext/>
      <w:numPr>
        <w:ilvl w:val="3"/>
        <w:numId w:val="6"/>
      </w:numPr>
      <w:spacing w:before="160"/>
    </w:pPr>
    <w:rPr>
      <w:b/>
      <w:sz w:val="21"/>
    </w:rPr>
  </w:style>
  <w:style w:type="paragraph" w:customStyle="1" w:styleId="Schedule3">
    <w:name w:val="Schedule 3"/>
    <w:basedOn w:val="Normal"/>
    <w:qFormat/>
    <w:rsid w:val="006B5ACD"/>
    <w:pPr>
      <w:numPr>
        <w:ilvl w:val="4"/>
        <w:numId w:val="6"/>
      </w:numPr>
    </w:pPr>
  </w:style>
  <w:style w:type="paragraph" w:customStyle="1" w:styleId="Schedule4">
    <w:name w:val="Schedule 4"/>
    <w:basedOn w:val="Normal"/>
    <w:qFormat/>
    <w:rsid w:val="006B5ACD"/>
    <w:pPr>
      <w:numPr>
        <w:ilvl w:val="5"/>
        <w:numId w:val="6"/>
      </w:numPr>
    </w:pPr>
  </w:style>
  <w:style w:type="paragraph" w:customStyle="1" w:styleId="Schedule5">
    <w:name w:val="Schedule 5"/>
    <w:basedOn w:val="Normal"/>
    <w:qFormat/>
    <w:rsid w:val="006B5ACD"/>
    <w:pPr>
      <w:numPr>
        <w:ilvl w:val="6"/>
        <w:numId w:val="6"/>
      </w:numPr>
    </w:pPr>
  </w:style>
  <w:style w:type="paragraph" w:customStyle="1" w:styleId="Schedule6">
    <w:name w:val="Schedule 6"/>
    <w:basedOn w:val="Normal"/>
    <w:qFormat/>
    <w:rsid w:val="006B5ACD"/>
    <w:pPr>
      <w:numPr>
        <w:ilvl w:val="7"/>
        <w:numId w:val="6"/>
      </w:numPr>
    </w:pPr>
  </w:style>
  <w:style w:type="paragraph" w:styleId="Title">
    <w:name w:val="Title"/>
    <w:basedOn w:val="Normal"/>
    <w:qFormat/>
    <w:rsid w:val="008F401F"/>
    <w:pPr>
      <w:keepNext/>
      <w:spacing w:before="0" w:after="60"/>
    </w:pPr>
    <w:rPr>
      <w:sz w:val="32"/>
    </w:rPr>
  </w:style>
  <w:style w:type="paragraph" w:styleId="TOC1">
    <w:name w:val="toc 1"/>
    <w:basedOn w:val="Normal"/>
    <w:next w:val="TOC2"/>
    <w:autoRedefine/>
    <w:uiPriority w:val="39"/>
    <w:qFormat/>
    <w:rsid w:val="00587B21"/>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587B21"/>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2E5F1F"/>
    <w:pPr>
      <w:spacing w:before="60" w:line="240" w:lineRule="auto"/>
      <w:ind w:left="709"/>
    </w:pPr>
    <w:rPr>
      <w:noProof/>
      <w:lang w:eastAsia="en-US"/>
    </w:rPr>
  </w:style>
  <w:style w:type="paragraph" w:styleId="TOC4">
    <w:name w:val="toc 4"/>
    <w:basedOn w:val="Normal"/>
    <w:next w:val="Normal"/>
    <w:autoRedefine/>
    <w:semiHidden/>
    <w:rsid w:val="002E5F1F"/>
    <w:pPr>
      <w:tabs>
        <w:tab w:val="right" w:pos="7938"/>
      </w:tabs>
      <w:spacing w:before="60" w:line="240" w:lineRule="auto"/>
      <w:ind w:left="2835" w:hanging="709"/>
    </w:pPr>
    <w:rPr>
      <w:noProof/>
      <w:lang w:eastAsia="en-US"/>
    </w:rPr>
  </w:style>
  <w:style w:type="paragraph" w:customStyle="1" w:styleId="GeneralHeading1">
    <w:name w:val="General Heading 1"/>
    <w:basedOn w:val="Normal"/>
    <w:next w:val="Normal"/>
    <w:qFormat/>
    <w:rsid w:val="008F401F"/>
    <w:pPr>
      <w:keepNext/>
      <w:spacing w:before="200"/>
    </w:pPr>
    <w:rPr>
      <w:b/>
      <w:sz w:val="22"/>
    </w:rPr>
  </w:style>
  <w:style w:type="paragraph" w:customStyle="1" w:styleId="GeneralHeading2">
    <w:name w:val="General Heading 2"/>
    <w:basedOn w:val="Normal"/>
    <w:next w:val="Normal"/>
    <w:qFormat/>
    <w:rsid w:val="00773B82"/>
    <w:pPr>
      <w:keepNext/>
      <w:spacing w:before="160"/>
    </w:pPr>
    <w:rPr>
      <w:b/>
      <w:sz w:val="21"/>
    </w:rPr>
  </w:style>
  <w:style w:type="paragraph" w:customStyle="1" w:styleId="Definitionsi">
    <w:name w:val="Definitions (i)"/>
    <w:basedOn w:val="Normal"/>
    <w:qFormat/>
    <w:rsid w:val="0079772A"/>
    <w:pPr>
      <w:numPr>
        <w:ilvl w:val="2"/>
        <w:numId w:val="11"/>
      </w:numPr>
    </w:pPr>
  </w:style>
  <w:style w:type="paragraph" w:styleId="TOC5">
    <w:name w:val="toc 5"/>
    <w:basedOn w:val="Normal"/>
    <w:next w:val="Normal"/>
    <w:autoRedefine/>
    <w:semiHidden/>
    <w:rsid w:val="002E5F1F"/>
    <w:pPr>
      <w:ind w:left="3544" w:hanging="709"/>
    </w:pPr>
    <w:rPr>
      <w:lang w:eastAsia="en-US"/>
    </w:rPr>
  </w:style>
  <w:style w:type="paragraph" w:styleId="TOC6">
    <w:name w:val="toc 6"/>
    <w:basedOn w:val="Normal"/>
    <w:next w:val="Normal"/>
    <w:autoRedefine/>
    <w:semiHidden/>
    <w:rsid w:val="002E5F1F"/>
    <w:pPr>
      <w:ind w:left="4253" w:hanging="709"/>
    </w:pPr>
    <w:rPr>
      <w:lang w:eastAsia="en-US"/>
    </w:rPr>
  </w:style>
  <w:style w:type="paragraph" w:styleId="TOC7">
    <w:name w:val="toc 7"/>
    <w:basedOn w:val="Normal"/>
    <w:next w:val="Normal"/>
    <w:autoRedefine/>
    <w:semiHidden/>
    <w:rsid w:val="002E5F1F"/>
    <w:pPr>
      <w:ind w:left="1200"/>
    </w:pPr>
    <w:rPr>
      <w:lang w:eastAsia="en-US"/>
    </w:rPr>
  </w:style>
  <w:style w:type="paragraph" w:styleId="TOC8">
    <w:name w:val="toc 8"/>
    <w:basedOn w:val="Normal"/>
    <w:next w:val="Normal"/>
    <w:autoRedefine/>
    <w:semiHidden/>
    <w:rsid w:val="002E5F1F"/>
    <w:pPr>
      <w:ind w:left="1400"/>
    </w:pPr>
    <w:rPr>
      <w:lang w:eastAsia="en-US"/>
    </w:rPr>
  </w:style>
  <w:style w:type="paragraph" w:styleId="TOC9">
    <w:name w:val="toc 9"/>
    <w:basedOn w:val="Normal"/>
    <w:next w:val="Normal"/>
    <w:autoRedefine/>
    <w:semiHidden/>
    <w:rsid w:val="002E5F1F"/>
    <w:pPr>
      <w:ind w:left="1600"/>
    </w:pPr>
    <w:rPr>
      <w:lang w:eastAsia="en-US"/>
    </w:rPr>
  </w:style>
  <w:style w:type="paragraph" w:customStyle="1" w:styleId="AllensHeading1">
    <w:name w:val="Allens Heading 1"/>
    <w:basedOn w:val="Normal"/>
    <w:next w:val="AllensHeading2"/>
    <w:qFormat/>
    <w:rsid w:val="0015748D"/>
    <w:pPr>
      <w:keepNext/>
      <w:numPr>
        <w:numId w:val="10"/>
      </w:numPr>
      <w:spacing w:before="200"/>
      <w:outlineLvl w:val="0"/>
    </w:pPr>
    <w:rPr>
      <w:b/>
      <w:sz w:val="22"/>
    </w:rPr>
  </w:style>
  <w:style w:type="paragraph" w:customStyle="1" w:styleId="AllensHeading2">
    <w:name w:val="Allens Heading 2"/>
    <w:basedOn w:val="Normal"/>
    <w:next w:val="NormalIndent"/>
    <w:qFormat/>
    <w:rsid w:val="0015748D"/>
    <w:pPr>
      <w:keepNext/>
      <w:numPr>
        <w:ilvl w:val="1"/>
        <w:numId w:val="10"/>
      </w:numPr>
      <w:spacing w:before="160"/>
      <w:outlineLvl w:val="1"/>
    </w:pPr>
    <w:rPr>
      <w:b/>
      <w:sz w:val="21"/>
    </w:rPr>
  </w:style>
  <w:style w:type="paragraph" w:styleId="FootnoteText">
    <w:name w:val="footnote text"/>
    <w:basedOn w:val="Normal"/>
    <w:semiHidden/>
    <w:rPr>
      <w:sz w:val="16"/>
    </w:rPr>
  </w:style>
  <w:style w:type="paragraph" w:customStyle="1" w:styleId="GNLevel3">
    <w:name w:val="GN Level 3"/>
    <w:basedOn w:val="Normal"/>
    <w:uiPriority w:val="1"/>
    <w:qFormat/>
    <w:rsid w:val="000E46B2"/>
    <w:pPr>
      <w:numPr>
        <w:ilvl w:val="2"/>
        <w:numId w:val="4"/>
      </w:numPr>
      <w:spacing w:line="240" w:lineRule="auto"/>
    </w:pPr>
    <w:rPr>
      <w:vanish/>
      <w:color w:val="000080"/>
    </w:rPr>
  </w:style>
  <w:style w:type="paragraph" w:customStyle="1" w:styleId="GNLevel4">
    <w:name w:val="GN Level 4"/>
    <w:basedOn w:val="Normal"/>
    <w:uiPriority w:val="1"/>
    <w:qFormat/>
    <w:rsid w:val="000E46B2"/>
    <w:pPr>
      <w:numPr>
        <w:ilvl w:val="3"/>
        <w:numId w:val="4"/>
      </w:numPr>
      <w:spacing w:line="240" w:lineRule="auto"/>
    </w:pPr>
    <w:rPr>
      <w:vanish/>
      <w:color w:val="000080"/>
    </w:rPr>
  </w:style>
  <w:style w:type="paragraph" w:customStyle="1" w:styleId="GNBullet">
    <w:name w:val="GN Bullet"/>
    <w:basedOn w:val="Normal"/>
    <w:uiPriority w:val="1"/>
    <w:qFormat/>
    <w:pPr>
      <w:numPr>
        <w:numId w:val="5"/>
      </w:numPr>
      <w:spacing w:line="240" w:lineRule="auto"/>
    </w:pPr>
    <w:rPr>
      <w:vanish/>
      <w:color w:val="000080"/>
    </w:rPr>
  </w:style>
  <w:style w:type="paragraph" w:customStyle="1" w:styleId="AllensHeading3">
    <w:name w:val="Allens Heading 3"/>
    <w:basedOn w:val="Normal"/>
    <w:qFormat/>
    <w:rsid w:val="0015748D"/>
    <w:pPr>
      <w:numPr>
        <w:ilvl w:val="2"/>
        <w:numId w:val="10"/>
      </w:numPr>
    </w:pPr>
  </w:style>
  <w:style w:type="paragraph" w:customStyle="1" w:styleId="AllensHeading4">
    <w:name w:val="Allens Heading 4"/>
    <w:basedOn w:val="Normal"/>
    <w:qFormat/>
    <w:rsid w:val="0015748D"/>
    <w:pPr>
      <w:numPr>
        <w:ilvl w:val="3"/>
        <w:numId w:val="10"/>
      </w:numPr>
    </w:pPr>
  </w:style>
  <w:style w:type="paragraph" w:customStyle="1" w:styleId="AllensHeading5">
    <w:name w:val="Allens Heading 5"/>
    <w:basedOn w:val="Normal"/>
    <w:qFormat/>
    <w:rsid w:val="0015748D"/>
    <w:pPr>
      <w:numPr>
        <w:ilvl w:val="4"/>
        <w:numId w:val="10"/>
      </w:numPr>
    </w:pPr>
  </w:style>
  <w:style w:type="paragraph" w:customStyle="1" w:styleId="AllensHeading6">
    <w:name w:val="Allens Heading 6"/>
    <w:basedOn w:val="Normal"/>
    <w:qFormat/>
    <w:rsid w:val="0015748D"/>
    <w:pPr>
      <w:numPr>
        <w:ilvl w:val="5"/>
        <w:numId w:val="10"/>
      </w:numPr>
    </w:pPr>
  </w:style>
  <w:style w:type="paragraph" w:customStyle="1" w:styleId="ContentsHeading">
    <w:name w:val="Contents Heading"/>
    <w:basedOn w:val="Normal"/>
    <w:next w:val="Normal"/>
    <w:qFormat/>
    <w:rsid w:val="008F401F"/>
    <w:pPr>
      <w:spacing w:before="0"/>
    </w:pPr>
    <w:rPr>
      <w:b/>
      <w:sz w:val="22"/>
    </w:rPr>
  </w:style>
  <w:style w:type="table" w:styleId="TableGrid">
    <w:name w:val="Table Grid"/>
    <w:basedOn w:val="TableNormal"/>
    <w:rsid w:val="0011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A4C8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831B4"/>
    <w:rPr>
      <w:rFonts w:ascii="Tahoma" w:hAnsi="Tahoma" w:cs="Tahoma"/>
      <w:sz w:val="16"/>
      <w:szCs w:val="16"/>
    </w:rPr>
  </w:style>
  <w:style w:type="paragraph" w:customStyle="1" w:styleId="DraftHeading2">
    <w:name w:val="Draft Heading 2"/>
    <w:basedOn w:val="Normal"/>
    <w:next w:val="Normal"/>
    <w:rsid w:val="005C2CCB"/>
    <w:pPr>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DraftHeading3">
    <w:name w:val="Draft Heading 3"/>
    <w:basedOn w:val="Normal"/>
    <w:next w:val="Normal"/>
    <w:rsid w:val="005C2CCB"/>
    <w:pPr>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ShoulderReference">
    <w:name w:val="Shoulder Reference"/>
    <w:next w:val="Normal"/>
    <w:rsid w:val="005C2CCB"/>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hAnsi="Times New Roman"/>
      <w:b/>
      <w:noProof/>
      <w:spacing w:val="-6"/>
      <w:lang w:eastAsia="en-US"/>
    </w:rPr>
  </w:style>
  <w:style w:type="paragraph" w:customStyle="1" w:styleId="SideNote">
    <w:name w:val="Side Note"/>
    <w:basedOn w:val="Normal"/>
    <w:rsid w:val="005C2CCB"/>
    <w:pPr>
      <w:framePr w:w="964" w:h="340" w:hSpace="284" w:wrap="around" w:vAnchor="text" w:hAnchor="page" w:xAlign="inside" w:y="1"/>
      <w:suppressLineNumbers/>
      <w:overflowPunct w:val="0"/>
      <w:autoSpaceDE w:val="0"/>
      <w:autoSpaceDN w:val="0"/>
      <w:adjustRightInd w:val="0"/>
      <w:spacing w:before="120" w:line="240" w:lineRule="auto"/>
      <w:textAlignment w:val="baseline"/>
    </w:pPr>
    <w:rPr>
      <w:b/>
      <w:spacing w:val="-10"/>
      <w:sz w:val="16"/>
      <w:lang w:eastAsia="en-US"/>
    </w:rPr>
  </w:style>
  <w:style w:type="paragraph" w:styleId="ListNumber">
    <w:name w:val="List Number"/>
    <w:basedOn w:val="Normal"/>
    <w:rsid w:val="005C2CCB"/>
    <w:pPr>
      <w:numPr>
        <w:numId w:val="24"/>
      </w:numPr>
      <w:suppressLineNumbers/>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DraftParaNote">
    <w:name w:val="Draft Para Note"/>
    <w:next w:val="Normal"/>
    <w:rsid w:val="005C2CCB"/>
    <w:pPr>
      <w:spacing w:before="120"/>
    </w:pPr>
    <w:rPr>
      <w:rFonts w:ascii="Times New Roman" w:hAnsi="Times New Roman"/>
      <w:lang w:eastAsia="en-US"/>
    </w:rPr>
  </w:style>
  <w:style w:type="paragraph" w:customStyle="1" w:styleId="DraftHeading1">
    <w:name w:val="Draft Heading 1"/>
    <w:basedOn w:val="Normal"/>
    <w:next w:val="Normal"/>
    <w:rsid w:val="005C2CCB"/>
    <w:pPr>
      <w:overflowPunct w:val="0"/>
      <w:autoSpaceDE w:val="0"/>
      <w:autoSpaceDN w:val="0"/>
      <w:adjustRightInd w:val="0"/>
      <w:spacing w:before="120" w:line="240" w:lineRule="auto"/>
      <w:textAlignment w:val="baseline"/>
      <w:outlineLvl w:val="2"/>
    </w:pPr>
    <w:rPr>
      <w:rFonts w:ascii="Times New Roman" w:hAnsi="Times New Roman"/>
      <w:b/>
      <w:sz w:val="24"/>
      <w:szCs w:val="24"/>
      <w:lang w:eastAsia="en-US"/>
    </w:rPr>
  </w:style>
  <w:style w:type="paragraph" w:customStyle="1" w:styleId="DraftParaEg">
    <w:name w:val="Draft Para Eg"/>
    <w:next w:val="Normal"/>
    <w:rsid w:val="005C2CCB"/>
    <w:pPr>
      <w:spacing w:before="120"/>
      <w:ind w:left="1871"/>
    </w:pPr>
    <w:rPr>
      <w:rFonts w:ascii="Times New Roman" w:hAnsi="Times New Roman"/>
      <w:lang w:eastAsia="en-US"/>
    </w:rPr>
  </w:style>
  <w:style w:type="paragraph" w:customStyle="1" w:styleId="BodySectionSub">
    <w:name w:val="Body Section (Sub)"/>
    <w:next w:val="Normal"/>
    <w:rsid w:val="005C2CCB"/>
    <w:pPr>
      <w:overflowPunct w:val="0"/>
      <w:autoSpaceDE w:val="0"/>
      <w:autoSpaceDN w:val="0"/>
      <w:adjustRightInd w:val="0"/>
      <w:spacing w:before="120"/>
      <w:ind w:left="1361"/>
      <w:textAlignment w:val="baseline"/>
    </w:pPr>
    <w:rPr>
      <w:rFonts w:ascii="Times New Roman" w:hAnsi="Times New Roman"/>
      <w:sz w:val="24"/>
      <w:lang w:eastAsia="en-US"/>
    </w:rPr>
  </w:style>
  <w:style w:type="character" w:styleId="FootnoteReference">
    <w:name w:val="footnote reference"/>
    <w:basedOn w:val="DefaultParagraphFont"/>
    <w:rsid w:val="009F3C76"/>
    <w:rPr>
      <w:vertAlign w:val="superscript"/>
    </w:rPr>
  </w:style>
  <w:style w:type="character" w:styleId="FollowedHyperlink">
    <w:name w:val="FollowedHyperlink"/>
    <w:basedOn w:val="DefaultParagraphFont"/>
    <w:rsid w:val="000F153F"/>
    <w:rPr>
      <w:color w:val="800080" w:themeColor="followedHyperlink"/>
      <w:u w:val="single"/>
    </w:rPr>
  </w:style>
  <w:style w:type="character" w:styleId="Strong">
    <w:name w:val="Strong"/>
    <w:basedOn w:val="DefaultParagraphFont"/>
    <w:uiPriority w:val="22"/>
    <w:qFormat/>
    <w:rsid w:val="00A2184B"/>
    <w:rPr>
      <w:b/>
      <w:bCs/>
    </w:rPr>
  </w:style>
  <w:style w:type="paragraph" w:styleId="ListParagraph">
    <w:name w:val="List Paragraph"/>
    <w:basedOn w:val="Normal"/>
    <w:uiPriority w:val="34"/>
    <w:rsid w:val="00C22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toc 1" w:uiPriority="39" w:qFormat="1"/>
    <w:lsdException w:name="toc 2" w:uiPriority="39" w:qFormat="1"/>
    <w:lsdException w:name="Normal Indent" w:qFormat="1"/>
    <w:lsdException w:name="footer" w:qFormat="1"/>
    <w:lsdException w:name="caption" w:semiHidden="1"/>
    <w:lsdException w:name="page number" w:qFormat="1"/>
    <w:lsdException w:name="Title" w:qFormat="1"/>
    <w:lsdException w:name="Body Text" w:qFormat="1"/>
    <w:lsdException w:name="Body Text Indent" w:qFormat="1"/>
    <w:lsdException w:name="Hyperlink"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atentStyles>
  <w:style w:type="paragraph" w:default="1" w:styleId="Normal">
    <w:name w:val="Normal"/>
    <w:qFormat/>
    <w:rsid w:val="0096105E"/>
    <w:pPr>
      <w:spacing w:before="100" w:line="288" w:lineRule="auto"/>
    </w:pPr>
  </w:style>
  <w:style w:type="paragraph" w:styleId="Heading1">
    <w:name w:val="heading 1"/>
    <w:basedOn w:val="Normal"/>
    <w:next w:val="Normal"/>
    <w:semiHidden/>
    <w:pPr>
      <w:outlineLvl w:val="0"/>
    </w:pPr>
  </w:style>
  <w:style w:type="paragraph" w:styleId="Heading2">
    <w:name w:val="heading 2"/>
    <w:basedOn w:val="Normal"/>
    <w:next w:val="NormalIndent"/>
    <w:semiHidden/>
    <w:pPr>
      <w:outlineLvl w:val="1"/>
    </w:pPr>
  </w:style>
  <w:style w:type="paragraph" w:styleId="Heading3">
    <w:name w:val="heading 3"/>
    <w:basedOn w:val="Normal"/>
    <w:semiHidden/>
    <w:pPr>
      <w:outlineLvl w:val="2"/>
    </w:pPr>
  </w:style>
  <w:style w:type="paragraph" w:styleId="Heading4">
    <w:name w:val="heading 4"/>
    <w:basedOn w:val="Normal"/>
    <w:semiHidden/>
    <w:pPr>
      <w:outlineLvl w:val="3"/>
    </w:pPr>
  </w:style>
  <w:style w:type="paragraph" w:styleId="Heading5">
    <w:name w:val="heading 5"/>
    <w:basedOn w:val="Normal"/>
    <w:semiHidden/>
    <w:pPr>
      <w:outlineLvl w:val="4"/>
    </w:pPr>
  </w:style>
  <w:style w:type="paragraph" w:styleId="Heading6">
    <w:name w:val="heading 6"/>
    <w:basedOn w:val="Normal"/>
    <w:semiHidden/>
    <w:pPr>
      <w:outlineLvl w:val="5"/>
    </w:pPr>
  </w:style>
  <w:style w:type="paragraph" w:styleId="Heading7">
    <w:name w:val="heading 7"/>
    <w:basedOn w:val="Normal"/>
    <w:next w:val="Normal"/>
    <w:semiHidden/>
    <w:pPr>
      <w:outlineLvl w:val="6"/>
    </w:pPr>
  </w:style>
  <w:style w:type="paragraph" w:styleId="Heading8">
    <w:name w:val="heading 8"/>
    <w:basedOn w:val="Normal"/>
    <w:next w:val="Normal"/>
    <w:semiHidden/>
    <w:pPr>
      <w:outlineLvl w:val="7"/>
    </w:pPr>
  </w:style>
  <w:style w:type="paragraph" w:styleId="Heading9">
    <w:name w:val="heading 9"/>
    <w:basedOn w:val="Normal"/>
    <w:next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left="709"/>
    </w:pPr>
  </w:style>
  <w:style w:type="character" w:customStyle="1" w:styleId="AuthorNote">
    <w:name w:val="Author Note"/>
    <w:aliases w:val="AN"/>
    <w:uiPriority w:val="1"/>
    <w:qFormat/>
    <w:rsid w:val="008F401F"/>
    <w:rPr>
      <w:rFonts w:ascii="Arial" w:hAnsi="Arial"/>
      <w:b/>
      <w:vanish/>
      <w:color w:val="0074BF"/>
      <w:sz w:val="20"/>
    </w:rPr>
  </w:style>
  <w:style w:type="paragraph" w:styleId="BodyText">
    <w:name w:val="Body Text"/>
    <w:basedOn w:val="Normal"/>
    <w:qFormat/>
    <w:pPr>
      <w:spacing w:before="0" w:line="240" w:lineRule="auto"/>
    </w:pPr>
  </w:style>
  <w:style w:type="paragraph" w:styleId="BodyTextIndent">
    <w:name w:val="Body Text Indent"/>
    <w:basedOn w:val="BodyText"/>
    <w:qFormat/>
    <w:pPr>
      <w:ind w:left="709"/>
    </w:pPr>
  </w:style>
  <w:style w:type="paragraph" w:customStyle="1" w:styleId="Bullet1">
    <w:name w:val="Bullet 1"/>
    <w:basedOn w:val="Normal"/>
    <w:qFormat/>
    <w:pPr>
      <w:numPr>
        <w:numId w:val="1"/>
      </w:numPr>
    </w:pPr>
  </w:style>
  <w:style w:type="paragraph" w:customStyle="1" w:styleId="Bullet2">
    <w:name w:val="Bullet 2"/>
    <w:basedOn w:val="Normal"/>
    <w:qFormat/>
    <w:pPr>
      <w:numPr>
        <w:numId w:val="2"/>
      </w:numPr>
    </w:pPr>
  </w:style>
  <w:style w:type="paragraph" w:customStyle="1" w:styleId="Bullet3">
    <w:name w:val="Bullet 3"/>
    <w:basedOn w:val="Normal"/>
    <w:qFormat/>
    <w:pPr>
      <w:numPr>
        <w:numId w:val="3"/>
      </w:numPr>
    </w:pPr>
  </w:style>
  <w:style w:type="paragraph" w:styleId="Footer">
    <w:name w:val="footer"/>
    <w:basedOn w:val="Normal"/>
    <w:qFormat/>
    <w:pPr>
      <w:spacing w:before="40" w:line="240" w:lineRule="auto"/>
    </w:pPr>
    <w:rPr>
      <w:noProof/>
      <w:sz w:val="16"/>
    </w:rPr>
  </w:style>
  <w:style w:type="paragraph" w:customStyle="1" w:styleId="Definitions">
    <w:name w:val="Definitions"/>
    <w:basedOn w:val="NormalIndent"/>
    <w:qFormat/>
    <w:rsid w:val="00774A46"/>
    <w:pPr>
      <w:numPr>
        <w:numId w:val="11"/>
      </w:numPr>
      <w:ind w:left="709" w:firstLine="0"/>
    </w:pPr>
  </w:style>
  <w:style w:type="paragraph" w:customStyle="1" w:styleId="GNHeading">
    <w:name w:val="GN Heading"/>
    <w:basedOn w:val="Normal"/>
    <w:next w:val="GNNormalIndent"/>
    <w:uiPriority w:val="1"/>
    <w:qFormat/>
    <w:rsid w:val="008F401F"/>
    <w:pPr>
      <w:keepNext/>
      <w:numPr>
        <w:numId w:val="8"/>
      </w:numPr>
      <w:spacing w:before="200" w:line="240" w:lineRule="auto"/>
    </w:pPr>
    <w:rPr>
      <w:b/>
      <w:vanish/>
      <w:color w:val="000080"/>
    </w:rPr>
  </w:style>
  <w:style w:type="paragraph" w:customStyle="1" w:styleId="GNNormalIndent">
    <w:name w:val="GN Normal Indent"/>
    <w:basedOn w:val="GNNormal"/>
    <w:uiPriority w:val="1"/>
    <w:qFormat/>
    <w:pPr>
      <w:ind w:left="709"/>
    </w:pPr>
  </w:style>
  <w:style w:type="paragraph" w:customStyle="1" w:styleId="GNNormal">
    <w:name w:val="GN Normal"/>
    <w:basedOn w:val="Normal"/>
    <w:uiPriority w:val="1"/>
    <w:qFormat/>
    <w:pPr>
      <w:spacing w:line="240" w:lineRule="auto"/>
    </w:pPr>
    <w:rPr>
      <w:vanish/>
      <w:color w:val="000080"/>
    </w:rPr>
  </w:style>
  <w:style w:type="paragraph" w:customStyle="1" w:styleId="GNLevel1">
    <w:name w:val="GN Level 1"/>
    <w:basedOn w:val="Normal"/>
    <w:uiPriority w:val="1"/>
    <w:qFormat/>
    <w:rsid w:val="000E46B2"/>
    <w:pPr>
      <w:numPr>
        <w:numId w:val="4"/>
      </w:numPr>
      <w:spacing w:line="240" w:lineRule="auto"/>
    </w:pPr>
    <w:rPr>
      <w:vanish/>
      <w:color w:val="000080"/>
    </w:rPr>
  </w:style>
  <w:style w:type="paragraph" w:customStyle="1" w:styleId="GNLevel2">
    <w:name w:val="GN Level 2"/>
    <w:basedOn w:val="Normal"/>
    <w:uiPriority w:val="1"/>
    <w:qFormat/>
    <w:rsid w:val="000E46B2"/>
    <w:pPr>
      <w:numPr>
        <w:ilvl w:val="1"/>
        <w:numId w:val="4"/>
      </w:numPr>
      <w:spacing w:line="240" w:lineRule="auto"/>
    </w:pPr>
    <w:rPr>
      <w:vanish/>
      <w:color w:val="000080"/>
    </w:rPr>
  </w:style>
  <w:style w:type="paragraph" w:styleId="Header">
    <w:name w:val="header"/>
    <w:basedOn w:val="Normal"/>
    <w:semiHidden/>
    <w:rsid w:val="00EA5E72"/>
    <w:pPr>
      <w:spacing w:before="0" w:line="240" w:lineRule="auto"/>
    </w:pPr>
    <w:rPr>
      <w:noProof/>
      <w:sz w:val="16"/>
    </w:rPr>
  </w:style>
  <w:style w:type="paragraph" w:customStyle="1" w:styleId="HeaderTitle">
    <w:name w:val="Header Title"/>
    <w:basedOn w:val="Normal"/>
    <w:qFormat/>
    <w:rsid w:val="00861F83"/>
    <w:pPr>
      <w:spacing w:line="240" w:lineRule="auto"/>
    </w:pPr>
    <w:rPr>
      <w:noProof/>
    </w:rPr>
  </w:style>
  <w:style w:type="paragraph" w:customStyle="1" w:styleId="Definitionsa">
    <w:name w:val="Definitions (a)"/>
    <w:basedOn w:val="Normal"/>
    <w:qFormat/>
    <w:rsid w:val="0079772A"/>
    <w:pPr>
      <w:numPr>
        <w:ilvl w:val="1"/>
        <w:numId w:val="11"/>
      </w:numPr>
    </w:pPr>
  </w:style>
  <w:style w:type="paragraph" w:customStyle="1" w:styleId="level1">
    <w:name w:val="level1"/>
    <w:basedOn w:val="Normal"/>
    <w:qFormat/>
    <w:rsid w:val="008F401F"/>
    <w:pPr>
      <w:numPr>
        <w:numId w:val="9"/>
      </w:numPr>
    </w:pPr>
  </w:style>
  <w:style w:type="paragraph" w:customStyle="1" w:styleId="level2">
    <w:name w:val="level2"/>
    <w:basedOn w:val="Normal"/>
    <w:qFormat/>
    <w:pPr>
      <w:numPr>
        <w:ilvl w:val="1"/>
        <w:numId w:val="9"/>
      </w:numPr>
    </w:pPr>
  </w:style>
  <w:style w:type="paragraph" w:customStyle="1" w:styleId="level3">
    <w:name w:val="level3"/>
    <w:basedOn w:val="Normal"/>
    <w:qFormat/>
    <w:pPr>
      <w:numPr>
        <w:ilvl w:val="2"/>
        <w:numId w:val="9"/>
      </w:numPr>
    </w:pPr>
  </w:style>
  <w:style w:type="paragraph" w:customStyle="1" w:styleId="level4">
    <w:name w:val="level4"/>
    <w:basedOn w:val="Normal"/>
    <w:qFormat/>
    <w:pPr>
      <w:numPr>
        <w:ilvl w:val="3"/>
        <w:numId w:val="9"/>
      </w:numPr>
    </w:pPr>
  </w:style>
  <w:style w:type="paragraph" w:customStyle="1" w:styleId="level5">
    <w:name w:val="level5"/>
    <w:basedOn w:val="Normal"/>
    <w:qFormat/>
    <w:pPr>
      <w:numPr>
        <w:ilvl w:val="4"/>
        <w:numId w:val="9"/>
      </w:numPr>
    </w:pPr>
  </w:style>
  <w:style w:type="paragraph" w:customStyle="1" w:styleId="level6">
    <w:name w:val="level6"/>
    <w:basedOn w:val="Normal"/>
    <w:qFormat/>
    <w:pPr>
      <w:numPr>
        <w:ilvl w:val="5"/>
        <w:numId w:val="9"/>
      </w:numPr>
    </w:pPr>
  </w:style>
  <w:style w:type="character" w:styleId="PageNumber">
    <w:name w:val="page number"/>
    <w:semiHidden/>
    <w:qFormat/>
    <w:rPr>
      <w:sz w:val="16"/>
    </w:rPr>
  </w:style>
  <w:style w:type="character" w:styleId="Hyperlink">
    <w:name w:val="Hyperlink"/>
    <w:uiPriority w:val="99"/>
    <w:rsid w:val="0028458B"/>
    <w:rPr>
      <w:color w:val="0000FF"/>
      <w:u w:val="single"/>
    </w:rPr>
  </w:style>
  <w:style w:type="paragraph" w:customStyle="1" w:styleId="Schedule">
    <w:name w:val="Schedule"/>
    <w:basedOn w:val="Normal"/>
    <w:next w:val="ScheduleHeading"/>
    <w:qFormat/>
    <w:rsid w:val="00D458E8"/>
    <w:pPr>
      <w:keepNext/>
      <w:numPr>
        <w:numId w:val="6"/>
      </w:numPr>
      <w:spacing w:before="200"/>
      <w:ind w:left="0" w:firstLine="0"/>
      <w:outlineLvl w:val="0"/>
    </w:pPr>
    <w:rPr>
      <w:b/>
      <w:sz w:val="22"/>
    </w:rPr>
  </w:style>
  <w:style w:type="paragraph" w:customStyle="1" w:styleId="ScheduleHeading">
    <w:name w:val="Schedule Heading"/>
    <w:basedOn w:val="Normal"/>
    <w:next w:val="Schedule1"/>
    <w:qFormat/>
    <w:rsid w:val="00A21141"/>
    <w:pPr>
      <w:keepNext/>
      <w:numPr>
        <w:ilvl w:val="1"/>
        <w:numId w:val="6"/>
      </w:numPr>
      <w:spacing w:before="160"/>
      <w:ind w:left="0" w:firstLine="0"/>
      <w:outlineLvl w:val="1"/>
    </w:pPr>
    <w:rPr>
      <w:b/>
      <w:sz w:val="22"/>
    </w:rPr>
  </w:style>
  <w:style w:type="paragraph" w:customStyle="1" w:styleId="Schedule1">
    <w:name w:val="Schedule 1"/>
    <w:basedOn w:val="Normal"/>
    <w:next w:val="Schedule2"/>
    <w:qFormat/>
    <w:rsid w:val="006B5ACD"/>
    <w:pPr>
      <w:keepNext/>
      <w:numPr>
        <w:ilvl w:val="2"/>
        <w:numId w:val="6"/>
      </w:numPr>
      <w:spacing w:before="200"/>
    </w:pPr>
    <w:rPr>
      <w:b/>
      <w:sz w:val="22"/>
    </w:rPr>
  </w:style>
  <w:style w:type="paragraph" w:customStyle="1" w:styleId="Schedule2">
    <w:name w:val="Schedule 2"/>
    <w:basedOn w:val="Normal"/>
    <w:next w:val="NormalIndent"/>
    <w:qFormat/>
    <w:rsid w:val="006B5ACD"/>
    <w:pPr>
      <w:keepNext/>
      <w:numPr>
        <w:ilvl w:val="3"/>
        <w:numId w:val="6"/>
      </w:numPr>
      <w:spacing w:before="160"/>
    </w:pPr>
    <w:rPr>
      <w:b/>
      <w:sz w:val="21"/>
    </w:rPr>
  </w:style>
  <w:style w:type="paragraph" w:customStyle="1" w:styleId="Schedule3">
    <w:name w:val="Schedule 3"/>
    <w:basedOn w:val="Normal"/>
    <w:qFormat/>
    <w:rsid w:val="006B5ACD"/>
    <w:pPr>
      <w:numPr>
        <w:ilvl w:val="4"/>
        <w:numId w:val="6"/>
      </w:numPr>
    </w:pPr>
  </w:style>
  <w:style w:type="paragraph" w:customStyle="1" w:styleId="Schedule4">
    <w:name w:val="Schedule 4"/>
    <w:basedOn w:val="Normal"/>
    <w:qFormat/>
    <w:rsid w:val="006B5ACD"/>
    <w:pPr>
      <w:numPr>
        <w:ilvl w:val="5"/>
        <w:numId w:val="6"/>
      </w:numPr>
    </w:pPr>
  </w:style>
  <w:style w:type="paragraph" w:customStyle="1" w:styleId="Schedule5">
    <w:name w:val="Schedule 5"/>
    <w:basedOn w:val="Normal"/>
    <w:qFormat/>
    <w:rsid w:val="006B5ACD"/>
    <w:pPr>
      <w:numPr>
        <w:ilvl w:val="6"/>
        <w:numId w:val="6"/>
      </w:numPr>
    </w:pPr>
  </w:style>
  <w:style w:type="paragraph" w:customStyle="1" w:styleId="Schedule6">
    <w:name w:val="Schedule 6"/>
    <w:basedOn w:val="Normal"/>
    <w:qFormat/>
    <w:rsid w:val="006B5ACD"/>
    <w:pPr>
      <w:numPr>
        <w:ilvl w:val="7"/>
        <w:numId w:val="6"/>
      </w:numPr>
    </w:pPr>
  </w:style>
  <w:style w:type="paragraph" w:styleId="Title">
    <w:name w:val="Title"/>
    <w:basedOn w:val="Normal"/>
    <w:qFormat/>
    <w:rsid w:val="008F401F"/>
    <w:pPr>
      <w:keepNext/>
      <w:spacing w:before="0" w:after="60"/>
    </w:pPr>
    <w:rPr>
      <w:sz w:val="32"/>
    </w:rPr>
  </w:style>
  <w:style w:type="paragraph" w:styleId="TOC1">
    <w:name w:val="toc 1"/>
    <w:basedOn w:val="Normal"/>
    <w:next w:val="TOC2"/>
    <w:autoRedefine/>
    <w:uiPriority w:val="39"/>
    <w:qFormat/>
    <w:rsid w:val="00587B21"/>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587B21"/>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2E5F1F"/>
    <w:pPr>
      <w:spacing w:before="60" w:line="240" w:lineRule="auto"/>
      <w:ind w:left="709"/>
    </w:pPr>
    <w:rPr>
      <w:noProof/>
      <w:lang w:eastAsia="en-US"/>
    </w:rPr>
  </w:style>
  <w:style w:type="paragraph" w:styleId="TOC4">
    <w:name w:val="toc 4"/>
    <w:basedOn w:val="Normal"/>
    <w:next w:val="Normal"/>
    <w:autoRedefine/>
    <w:semiHidden/>
    <w:rsid w:val="002E5F1F"/>
    <w:pPr>
      <w:tabs>
        <w:tab w:val="right" w:pos="7938"/>
      </w:tabs>
      <w:spacing w:before="60" w:line="240" w:lineRule="auto"/>
      <w:ind w:left="2835" w:hanging="709"/>
    </w:pPr>
    <w:rPr>
      <w:noProof/>
      <w:lang w:eastAsia="en-US"/>
    </w:rPr>
  </w:style>
  <w:style w:type="paragraph" w:customStyle="1" w:styleId="GeneralHeading1">
    <w:name w:val="General Heading 1"/>
    <w:basedOn w:val="Normal"/>
    <w:next w:val="Normal"/>
    <w:qFormat/>
    <w:rsid w:val="008F401F"/>
    <w:pPr>
      <w:keepNext/>
      <w:spacing w:before="200"/>
    </w:pPr>
    <w:rPr>
      <w:b/>
      <w:sz w:val="22"/>
    </w:rPr>
  </w:style>
  <w:style w:type="paragraph" w:customStyle="1" w:styleId="GeneralHeading2">
    <w:name w:val="General Heading 2"/>
    <w:basedOn w:val="Normal"/>
    <w:next w:val="Normal"/>
    <w:qFormat/>
    <w:rsid w:val="00773B82"/>
    <w:pPr>
      <w:keepNext/>
      <w:spacing w:before="160"/>
    </w:pPr>
    <w:rPr>
      <w:b/>
      <w:sz w:val="21"/>
    </w:rPr>
  </w:style>
  <w:style w:type="paragraph" w:customStyle="1" w:styleId="Definitionsi">
    <w:name w:val="Definitions (i)"/>
    <w:basedOn w:val="Normal"/>
    <w:qFormat/>
    <w:rsid w:val="0079772A"/>
    <w:pPr>
      <w:numPr>
        <w:ilvl w:val="2"/>
        <w:numId w:val="11"/>
      </w:numPr>
    </w:pPr>
  </w:style>
  <w:style w:type="paragraph" w:styleId="TOC5">
    <w:name w:val="toc 5"/>
    <w:basedOn w:val="Normal"/>
    <w:next w:val="Normal"/>
    <w:autoRedefine/>
    <w:semiHidden/>
    <w:rsid w:val="002E5F1F"/>
    <w:pPr>
      <w:ind w:left="3544" w:hanging="709"/>
    </w:pPr>
    <w:rPr>
      <w:lang w:eastAsia="en-US"/>
    </w:rPr>
  </w:style>
  <w:style w:type="paragraph" w:styleId="TOC6">
    <w:name w:val="toc 6"/>
    <w:basedOn w:val="Normal"/>
    <w:next w:val="Normal"/>
    <w:autoRedefine/>
    <w:semiHidden/>
    <w:rsid w:val="002E5F1F"/>
    <w:pPr>
      <w:ind w:left="4253" w:hanging="709"/>
    </w:pPr>
    <w:rPr>
      <w:lang w:eastAsia="en-US"/>
    </w:rPr>
  </w:style>
  <w:style w:type="paragraph" w:styleId="TOC7">
    <w:name w:val="toc 7"/>
    <w:basedOn w:val="Normal"/>
    <w:next w:val="Normal"/>
    <w:autoRedefine/>
    <w:semiHidden/>
    <w:rsid w:val="002E5F1F"/>
    <w:pPr>
      <w:ind w:left="1200"/>
    </w:pPr>
    <w:rPr>
      <w:lang w:eastAsia="en-US"/>
    </w:rPr>
  </w:style>
  <w:style w:type="paragraph" w:styleId="TOC8">
    <w:name w:val="toc 8"/>
    <w:basedOn w:val="Normal"/>
    <w:next w:val="Normal"/>
    <w:autoRedefine/>
    <w:semiHidden/>
    <w:rsid w:val="002E5F1F"/>
    <w:pPr>
      <w:ind w:left="1400"/>
    </w:pPr>
    <w:rPr>
      <w:lang w:eastAsia="en-US"/>
    </w:rPr>
  </w:style>
  <w:style w:type="paragraph" w:styleId="TOC9">
    <w:name w:val="toc 9"/>
    <w:basedOn w:val="Normal"/>
    <w:next w:val="Normal"/>
    <w:autoRedefine/>
    <w:semiHidden/>
    <w:rsid w:val="002E5F1F"/>
    <w:pPr>
      <w:ind w:left="1600"/>
    </w:pPr>
    <w:rPr>
      <w:lang w:eastAsia="en-US"/>
    </w:rPr>
  </w:style>
  <w:style w:type="paragraph" w:customStyle="1" w:styleId="AllensHeading1">
    <w:name w:val="Allens Heading 1"/>
    <w:basedOn w:val="Normal"/>
    <w:next w:val="AllensHeading2"/>
    <w:qFormat/>
    <w:rsid w:val="0015748D"/>
    <w:pPr>
      <w:keepNext/>
      <w:numPr>
        <w:numId w:val="10"/>
      </w:numPr>
      <w:spacing w:before="200"/>
      <w:outlineLvl w:val="0"/>
    </w:pPr>
    <w:rPr>
      <w:b/>
      <w:sz w:val="22"/>
    </w:rPr>
  </w:style>
  <w:style w:type="paragraph" w:customStyle="1" w:styleId="AllensHeading2">
    <w:name w:val="Allens Heading 2"/>
    <w:basedOn w:val="Normal"/>
    <w:next w:val="NormalIndent"/>
    <w:qFormat/>
    <w:rsid w:val="0015748D"/>
    <w:pPr>
      <w:keepNext/>
      <w:numPr>
        <w:ilvl w:val="1"/>
        <w:numId w:val="10"/>
      </w:numPr>
      <w:spacing w:before="160"/>
      <w:outlineLvl w:val="1"/>
    </w:pPr>
    <w:rPr>
      <w:b/>
      <w:sz w:val="21"/>
    </w:rPr>
  </w:style>
  <w:style w:type="paragraph" w:styleId="FootnoteText">
    <w:name w:val="footnote text"/>
    <w:basedOn w:val="Normal"/>
    <w:semiHidden/>
    <w:rPr>
      <w:sz w:val="16"/>
    </w:rPr>
  </w:style>
  <w:style w:type="paragraph" w:customStyle="1" w:styleId="GNLevel3">
    <w:name w:val="GN Level 3"/>
    <w:basedOn w:val="Normal"/>
    <w:uiPriority w:val="1"/>
    <w:qFormat/>
    <w:rsid w:val="000E46B2"/>
    <w:pPr>
      <w:numPr>
        <w:ilvl w:val="2"/>
        <w:numId w:val="4"/>
      </w:numPr>
      <w:spacing w:line="240" w:lineRule="auto"/>
    </w:pPr>
    <w:rPr>
      <w:vanish/>
      <w:color w:val="000080"/>
    </w:rPr>
  </w:style>
  <w:style w:type="paragraph" w:customStyle="1" w:styleId="GNLevel4">
    <w:name w:val="GN Level 4"/>
    <w:basedOn w:val="Normal"/>
    <w:uiPriority w:val="1"/>
    <w:qFormat/>
    <w:rsid w:val="000E46B2"/>
    <w:pPr>
      <w:numPr>
        <w:ilvl w:val="3"/>
        <w:numId w:val="4"/>
      </w:numPr>
      <w:spacing w:line="240" w:lineRule="auto"/>
    </w:pPr>
    <w:rPr>
      <w:vanish/>
      <w:color w:val="000080"/>
    </w:rPr>
  </w:style>
  <w:style w:type="paragraph" w:customStyle="1" w:styleId="GNBullet">
    <w:name w:val="GN Bullet"/>
    <w:basedOn w:val="Normal"/>
    <w:uiPriority w:val="1"/>
    <w:qFormat/>
    <w:pPr>
      <w:numPr>
        <w:numId w:val="5"/>
      </w:numPr>
      <w:spacing w:line="240" w:lineRule="auto"/>
    </w:pPr>
    <w:rPr>
      <w:vanish/>
      <w:color w:val="000080"/>
    </w:rPr>
  </w:style>
  <w:style w:type="paragraph" w:customStyle="1" w:styleId="AllensHeading3">
    <w:name w:val="Allens Heading 3"/>
    <w:basedOn w:val="Normal"/>
    <w:qFormat/>
    <w:rsid w:val="0015748D"/>
    <w:pPr>
      <w:numPr>
        <w:ilvl w:val="2"/>
        <w:numId w:val="10"/>
      </w:numPr>
    </w:pPr>
  </w:style>
  <w:style w:type="paragraph" w:customStyle="1" w:styleId="AllensHeading4">
    <w:name w:val="Allens Heading 4"/>
    <w:basedOn w:val="Normal"/>
    <w:qFormat/>
    <w:rsid w:val="0015748D"/>
    <w:pPr>
      <w:numPr>
        <w:ilvl w:val="3"/>
        <w:numId w:val="10"/>
      </w:numPr>
    </w:pPr>
  </w:style>
  <w:style w:type="paragraph" w:customStyle="1" w:styleId="AllensHeading5">
    <w:name w:val="Allens Heading 5"/>
    <w:basedOn w:val="Normal"/>
    <w:qFormat/>
    <w:rsid w:val="0015748D"/>
    <w:pPr>
      <w:numPr>
        <w:ilvl w:val="4"/>
        <w:numId w:val="10"/>
      </w:numPr>
    </w:pPr>
  </w:style>
  <w:style w:type="paragraph" w:customStyle="1" w:styleId="AllensHeading6">
    <w:name w:val="Allens Heading 6"/>
    <w:basedOn w:val="Normal"/>
    <w:qFormat/>
    <w:rsid w:val="0015748D"/>
    <w:pPr>
      <w:numPr>
        <w:ilvl w:val="5"/>
        <w:numId w:val="10"/>
      </w:numPr>
    </w:pPr>
  </w:style>
  <w:style w:type="paragraph" w:customStyle="1" w:styleId="ContentsHeading">
    <w:name w:val="Contents Heading"/>
    <w:basedOn w:val="Normal"/>
    <w:next w:val="Normal"/>
    <w:qFormat/>
    <w:rsid w:val="008F401F"/>
    <w:pPr>
      <w:spacing w:before="0"/>
    </w:pPr>
    <w:rPr>
      <w:b/>
      <w:sz w:val="22"/>
    </w:rPr>
  </w:style>
  <w:style w:type="table" w:styleId="TableGrid">
    <w:name w:val="Table Grid"/>
    <w:basedOn w:val="TableNormal"/>
    <w:rsid w:val="0011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A4C8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831B4"/>
    <w:rPr>
      <w:rFonts w:ascii="Tahoma" w:hAnsi="Tahoma" w:cs="Tahoma"/>
      <w:sz w:val="16"/>
      <w:szCs w:val="16"/>
    </w:rPr>
  </w:style>
  <w:style w:type="paragraph" w:customStyle="1" w:styleId="DraftHeading2">
    <w:name w:val="Draft Heading 2"/>
    <w:basedOn w:val="Normal"/>
    <w:next w:val="Normal"/>
    <w:rsid w:val="005C2CCB"/>
    <w:pPr>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DraftHeading3">
    <w:name w:val="Draft Heading 3"/>
    <w:basedOn w:val="Normal"/>
    <w:next w:val="Normal"/>
    <w:rsid w:val="005C2CCB"/>
    <w:pPr>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ShoulderReference">
    <w:name w:val="Shoulder Reference"/>
    <w:next w:val="Normal"/>
    <w:rsid w:val="005C2CCB"/>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rFonts w:ascii="Times New Roman" w:hAnsi="Times New Roman"/>
      <w:b/>
      <w:noProof/>
      <w:spacing w:val="-6"/>
      <w:lang w:eastAsia="en-US"/>
    </w:rPr>
  </w:style>
  <w:style w:type="paragraph" w:customStyle="1" w:styleId="SideNote">
    <w:name w:val="Side Note"/>
    <w:basedOn w:val="Normal"/>
    <w:rsid w:val="005C2CCB"/>
    <w:pPr>
      <w:framePr w:w="964" w:h="340" w:hSpace="284" w:wrap="around" w:vAnchor="text" w:hAnchor="page" w:xAlign="inside" w:y="1"/>
      <w:suppressLineNumbers/>
      <w:overflowPunct w:val="0"/>
      <w:autoSpaceDE w:val="0"/>
      <w:autoSpaceDN w:val="0"/>
      <w:adjustRightInd w:val="0"/>
      <w:spacing w:before="120" w:line="240" w:lineRule="auto"/>
      <w:textAlignment w:val="baseline"/>
    </w:pPr>
    <w:rPr>
      <w:b/>
      <w:spacing w:val="-10"/>
      <w:sz w:val="16"/>
      <w:lang w:eastAsia="en-US"/>
    </w:rPr>
  </w:style>
  <w:style w:type="paragraph" w:styleId="ListNumber">
    <w:name w:val="List Number"/>
    <w:basedOn w:val="Normal"/>
    <w:rsid w:val="005C2CCB"/>
    <w:pPr>
      <w:numPr>
        <w:numId w:val="24"/>
      </w:numPr>
      <w:suppressLineNumbers/>
      <w:overflowPunct w:val="0"/>
      <w:autoSpaceDE w:val="0"/>
      <w:autoSpaceDN w:val="0"/>
      <w:adjustRightInd w:val="0"/>
      <w:spacing w:before="120" w:line="240" w:lineRule="auto"/>
      <w:textAlignment w:val="baseline"/>
    </w:pPr>
    <w:rPr>
      <w:rFonts w:ascii="Times New Roman" w:hAnsi="Times New Roman"/>
      <w:sz w:val="24"/>
      <w:lang w:eastAsia="en-US"/>
    </w:rPr>
  </w:style>
  <w:style w:type="paragraph" w:customStyle="1" w:styleId="DraftParaNote">
    <w:name w:val="Draft Para Note"/>
    <w:next w:val="Normal"/>
    <w:rsid w:val="005C2CCB"/>
    <w:pPr>
      <w:spacing w:before="120"/>
    </w:pPr>
    <w:rPr>
      <w:rFonts w:ascii="Times New Roman" w:hAnsi="Times New Roman"/>
      <w:lang w:eastAsia="en-US"/>
    </w:rPr>
  </w:style>
  <w:style w:type="paragraph" w:customStyle="1" w:styleId="DraftHeading1">
    <w:name w:val="Draft Heading 1"/>
    <w:basedOn w:val="Normal"/>
    <w:next w:val="Normal"/>
    <w:rsid w:val="005C2CCB"/>
    <w:pPr>
      <w:overflowPunct w:val="0"/>
      <w:autoSpaceDE w:val="0"/>
      <w:autoSpaceDN w:val="0"/>
      <w:adjustRightInd w:val="0"/>
      <w:spacing w:before="120" w:line="240" w:lineRule="auto"/>
      <w:textAlignment w:val="baseline"/>
      <w:outlineLvl w:val="2"/>
    </w:pPr>
    <w:rPr>
      <w:rFonts w:ascii="Times New Roman" w:hAnsi="Times New Roman"/>
      <w:b/>
      <w:sz w:val="24"/>
      <w:szCs w:val="24"/>
      <w:lang w:eastAsia="en-US"/>
    </w:rPr>
  </w:style>
  <w:style w:type="paragraph" w:customStyle="1" w:styleId="DraftParaEg">
    <w:name w:val="Draft Para Eg"/>
    <w:next w:val="Normal"/>
    <w:rsid w:val="005C2CCB"/>
    <w:pPr>
      <w:spacing w:before="120"/>
      <w:ind w:left="1871"/>
    </w:pPr>
    <w:rPr>
      <w:rFonts w:ascii="Times New Roman" w:hAnsi="Times New Roman"/>
      <w:lang w:eastAsia="en-US"/>
    </w:rPr>
  </w:style>
  <w:style w:type="paragraph" w:customStyle="1" w:styleId="BodySectionSub">
    <w:name w:val="Body Section (Sub)"/>
    <w:next w:val="Normal"/>
    <w:rsid w:val="005C2CCB"/>
    <w:pPr>
      <w:overflowPunct w:val="0"/>
      <w:autoSpaceDE w:val="0"/>
      <w:autoSpaceDN w:val="0"/>
      <w:adjustRightInd w:val="0"/>
      <w:spacing w:before="120"/>
      <w:ind w:left="1361"/>
      <w:textAlignment w:val="baseline"/>
    </w:pPr>
    <w:rPr>
      <w:rFonts w:ascii="Times New Roman" w:hAnsi="Times New Roman"/>
      <w:sz w:val="24"/>
      <w:lang w:eastAsia="en-US"/>
    </w:rPr>
  </w:style>
  <w:style w:type="character" w:styleId="FootnoteReference">
    <w:name w:val="footnote reference"/>
    <w:basedOn w:val="DefaultParagraphFont"/>
    <w:rsid w:val="009F3C76"/>
    <w:rPr>
      <w:vertAlign w:val="superscript"/>
    </w:rPr>
  </w:style>
  <w:style w:type="character" w:styleId="FollowedHyperlink">
    <w:name w:val="FollowedHyperlink"/>
    <w:basedOn w:val="DefaultParagraphFont"/>
    <w:rsid w:val="000F153F"/>
    <w:rPr>
      <w:color w:val="800080" w:themeColor="followedHyperlink"/>
      <w:u w:val="single"/>
    </w:rPr>
  </w:style>
  <w:style w:type="character" w:styleId="Strong">
    <w:name w:val="Strong"/>
    <w:basedOn w:val="DefaultParagraphFont"/>
    <w:uiPriority w:val="22"/>
    <w:qFormat/>
    <w:rsid w:val="00A2184B"/>
    <w:rPr>
      <w:b/>
      <w:bCs/>
    </w:rPr>
  </w:style>
  <w:style w:type="paragraph" w:styleId="ListParagraph">
    <w:name w:val="List Paragraph"/>
    <w:basedOn w:val="Normal"/>
    <w:uiPriority w:val="34"/>
    <w:rsid w:val="00C22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1189">
      <w:bodyDiv w:val="1"/>
      <w:marLeft w:val="0"/>
      <w:marRight w:val="0"/>
      <w:marTop w:val="0"/>
      <w:marBottom w:val="0"/>
      <w:divBdr>
        <w:top w:val="none" w:sz="0" w:space="0" w:color="auto"/>
        <w:left w:val="none" w:sz="0" w:space="0" w:color="auto"/>
        <w:bottom w:val="none" w:sz="0" w:space="0" w:color="auto"/>
        <w:right w:val="none" w:sz="0" w:space="0" w:color="auto"/>
      </w:divBdr>
    </w:div>
    <w:div w:id="61684976">
      <w:bodyDiv w:val="1"/>
      <w:marLeft w:val="0"/>
      <w:marRight w:val="0"/>
      <w:marTop w:val="0"/>
      <w:marBottom w:val="0"/>
      <w:divBdr>
        <w:top w:val="none" w:sz="0" w:space="0" w:color="auto"/>
        <w:left w:val="none" w:sz="0" w:space="0" w:color="auto"/>
        <w:bottom w:val="none" w:sz="0" w:space="0" w:color="auto"/>
        <w:right w:val="none" w:sz="0" w:space="0" w:color="auto"/>
      </w:divBdr>
    </w:div>
    <w:div w:id="71975087">
      <w:bodyDiv w:val="1"/>
      <w:marLeft w:val="0"/>
      <w:marRight w:val="0"/>
      <w:marTop w:val="0"/>
      <w:marBottom w:val="0"/>
      <w:divBdr>
        <w:top w:val="none" w:sz="0" w:space="0" w:color="auto"/>
        <w:left w:val="none" w:sz="0" w:space="0" w:color="auto"/>
        <w:bottom w:val="none" w:sz="0" w:space="0" w:color="auto"/>
        <w:right w:val="none" w:sz="0" w:space="0" w:color="auto"/>
      </w:divBdr>
    </w:div>
    <w:div w:id="123888249">
      <w:bodyDiv w:val="1"/>
      <w:marLeft w:val="0"/>
      <w:marRight w:val="0"/>
      <w:marTop w:val="0"/>
      <w:marBottom w:val="0"/>
      <w:divBdr>
        <w:top w:val="none" w:sz="0" w:space="0" w:color="auto"/>
        <w:left w:val="none" w:sz="0" w:space="0" w:color="auto"/>
        <w:bottom w:val="none" w:sz="0" w:space="0" w:color="auto"/>
        <w:right w:val="none" w:sz="0" w:space="0" w:color="auto"/>
      </w:divBdr>
    </w:div>
    <w:div w:id="128129210">
      <w:bodyDiv w:val="1"/>
      <w:marLeft w:val="0"/>
      <w:marRight w:val="0"/>
      <w:marTop w:val="0"/>
      <w:marBottom w:val="0"/>
      <w:divBdr>
        <w:top w:val="none" w:sz="0" w:space="0" w:color="auto"/>
        <w:left w:val="none" w:sz="0" w:space="0" w:color="auto"/>
        <w:bottom w:val="none" w:sz="0" w:space="0" w:color="auto"/>
        <w:right w:val="none" w:sz="0" w:space="0" w:color="auto"/>
      </w:divBdr>
    </w:div>
    <w:div w:id="135073143">
      <w:bodyDiv w:val="1"/>
      <w:marLeft w:val="0"/>
      <w:marRight w:val="0"/>
      <w:marTop w:val="0"/>
      <w:marBottom w:val="0"/>
      <w:divBdr>
        <w:top w:val="none" w:sz="0" w:space="0" w:color="auto"/>
        <w:left w:val="none" w:sz="0" w:space="0" w:color="auto"/>
        <w:bottom w:val="none" w:sz="0" w:space="0" w:color="auto"/>
        <w:right w:val="none" w:sz="0" w:space="0" w:color="auto"/>
      </w:divBdr>
    </w:div>
    <w:div w:id="182715525">
      <w:bodyDiv w:val="1"/>
      <w:marLeft w:val="0"/>
      <w:marRight w:val="0"/>
      <w:marTop w:val="0"/>
      <w:marBottom w:val="0"/>
      <w:divBdr>
        <w:top w:val="none" w:sz="0" w:space="0" w:color="auto"/>
        <w:left w:val="none" w:sz="0" w:space="0" w:color="auto"/>
        <w:bottom w:val="none" w:sz="0" w:space="0" w:color="auto"/>
        <w:right w:val="none" w:sz="0" w:space="0" w:color="auto"/>
      </w:divBdr>
    </w:div>
    <w:div w:id="271135935">
      <w:bodyDiv w:val="1"/>
      <w:marLeft w:val="0"/>
      <w:marRight w:val="0"/>
      <w:marTop w:val="0"/>
      <w:marBottom w:val="0"/>
      <w:divBdr>
        <w:top w:val="none" w:sz="0" w:space="0" w:color="auto"/>
        <w:left w:val="none" w:sz="0" w:space="0" w:color="auto"/>
        <w:bottom w:val="none" w:sz="0" w:space="0" w:color="auto"/>
        <w:right w:val="none" w:sz="0" w:space="0" w:color="auto"/>
      </w:divBdr>
    </w:div>
    <w:div w:id="323513503">
      <w:bodyDiv w:val="1"/>
      <w:marLeft w:val="0"/>
      <w:marRight w:val="0"/>
      <w:marTop w:val="0"/>
      <w:marBottom w:val="0"/>
      <w:divBdr>
        <w:top w:val="none" w:sz="0" w:space="0" w:color="auto"/>
        <w:left w:val="none" w:sz="0" w:space="0" w:color="auto"/>
        <w:bottom w:val="none" w:sz="0" w:space="0" w:color="auto"/>
        <w:right w:val="none" w:sz="0" w:space="0" w:color="auto"/>
      </w:divBdr>
    </w:div>
    <w:div w:id="337974726">
      <w:bodyDiv w:val="1"/>
      <w:marLeft w:val="0"/>
      <w:marRight w:val="0"/>
      <w:marTop w:val="0"/>
      <w:marBottom w:val="0"/>
      <w:divBdr>
        <w:top w:val="none" w:sz="0" w:space="0" w:color="auto"/>
        <w:left w:val="none" w:sz="0" w:space="0" w:color="auto"/>
        <w:bottom w:val="none" w:sz="0" w:space="0" w:color="auto"/>
        <w:right w:val="none" w:sz="0" w:space="0" w:color="auto"/>
      </w:divBdr>
    </w:div>
    <w:div w:id="540940830">
      <w:bodyDiv w:val="1"/>
      <w:marLeft w:val="0"/>
      <w:marRight w:val="0"/>
      <w:marTop w:val="0"/>
      <w:marBottom w:val="0"/>
      <w:divBdr>
        <w:top w:val="none" w:sz="0" w:space="0" w:color="auto"/>
        <w:left w:val="none" w:sz="0" w:space="0" w:color="auto"/>
        <w:bottom w:val="none" w:sz="0" w:space="0" w:color="auto"/>
        <w:right w:val="none" w:sz="0" w:space="0" w:color="auto"/>
      </w:divBdr>
    </w:div>
    <w:div w:id="735670097">
      <w:bodyDiv w:val="1"/>
      <w:marLeft w:val="0"/>
      <w:marRight w:val="0"/>
      <w:marTop w:val="0"/>
      <w:marBottom w:val="0"/>
      <w:divBdr>
        <w:top w:val="none" w:sz="0" w:space="0" w:color="auto"/>
        <w:left w:val="none" w:sz="0" w:space="0" w:color="auto"/>
        <w:bottom w:val="none" w:sz="0" w:space="0" w:color="auto"/>
        <w:right w:val="none" w:sz="0" w:space="0" w:color="auto"/>
      </w:divBdr>
    </w:div>
    <w:div w:id="796029635">
      <w:bodyDiv w:val="1"/>
      <w:marLeft w:val="0"/>
      <w:marRight w:val="0"/>
      <w:marTop w:val="0"/>
      <w:marBottom w:val="0"/>
      <w:divBdr>
        <w:top w:val="none" w:sz="0" w:space="0" w:color="auto"/>
        <w:left w:val="none" w:sz="0" w:space="0" w:color="auto"/>
        <w:bottom w:val="none" w:sz="0" w:space="0" w:color="auto"/>
        <w:right w:val="none" w:sz="0" w:space="0" w:color="auto"/>
      </w:divBdr>
    </w:div>
    <w:div w:id="833569936">
      <w:bodyDiv w:val="1"/>
      <w:marLeft w:val="0"/>
      <w:marRight w:val="0"/>
      <w:marTop w:val="0"/>
      <w:marBottom w:val="0"/>
      <w:divBdr>
        <w:top w:val="none" w:sz="0" w:space="0" w:color="auto"/>
        <w:left w:val="none" w:sz="0" w:space="0" w:color="auto"/>
        <w:bottom w:val="none" w:sz="0" w:space="0" w:color="auto"/>
        <w:right w:val="none" w:sz="0" w:space="0" w:color="auto"/>
      </w:divBdr>
    </w:div>
    <w:div w:id="888612268">
      <w:bodyDiv w:val="1"/>
      <w:marLeft w:val="0"/>
      <w:marRight w:val="0"/>
      <w:marTop w:val="0"/>
      <w:marBottom w:val="0"/>
      <w:divBdr>
        <w:top w:val="none" w:sz="0" w:space="0" w:color="auto"/>
        <w:left w:val="none" w:sz="0" w:space="0" w:color="auto"/>
        <w:bottom w:val="none" w:sz="0" w:space="0" w:color="auto"/>
        <w:right w:val="none" w:sz="0" w:space="0" w:color="auto"/>
      </w:divBdr>
    </w:div>
    <w:div w:id="895699317">
      <w:bodyDiv w:val="1"/>
      <w:marLeft w:val="0"/>
      <w:marRight w:val="0"/>
      <w:marTop w:val="0"/>
      <w:marBottom w:val="0"/>
      <w:divBdr>
        <w:top w:val="none" w:sz="0" w:space="0" w:color="auto"/>
        <w:left w:val="none" w:sz="0" w:space="0" w:color="auto"/>
        <w:bottom w:val="none" w:sz="0" w:space="0" w:color="auto"/>
        <w:right w:val="none" w:sz="0" w:space="0" w:color="auto"/>
      </w:divBdr>
    </w:div>
    <w:div w:id="1052383130">
      <w:bodyDiv w:val="1"/>
      <w:marLeft w:val="0"/>
      <w:marRight w:val="0"/>
      <w:marTop w:val="0"/>
      <w:marBottom w:val="0"/>
      <w:divBdr>
        <w:top w:val="none" w:sz="0" w:space="0" w:color="auto"/>
        <w:left w:val="none" w:sz="0" w:space="0" w:color="auto"/>
        <w:bottom w:val="none" w:sz="0" w:space="0" w:color="auto"/>
        <w:right w:val="none" w:sz="0" w:space="0" w:color="auto"/>
      </w:divBdr>
    </w:div>
    <w:div w:id="1063986550">
      <w:bodyDiv w:val="1"/>
      <w:marLeft w:val="0"/>
      <w:marRight w:val="0"/>
      <w:marTop w:val="0"/>
      <w:marBottom w:val="0"/>
      <w:divBdr>
        <w:top w:val="none" w:sz="0" w:space="0" w:color="auto"/>
        <w:left w:val="none" w:sz="0" w:space="0" w:color="auto"/>
        <w:bottom w:val="none" w:sz="0" w:space="0" w:color="auto"/>
        <w:right w:val="none" w:sz="0" w:space="0" w:color="auto"/>
      </w:divBdr>
    </w:div>
    <w:div w:id="1169171162">
      <w:bodyDiv w:val="1"/>
      <w:marLeft w:val="0"/>
      <w:marRight w:val="0"/>
      <w:marTop w:val="0"/>
      <w:marBottom w:val="0"/>
      <w:divBdr>
        <w:top w:val="none" w:sz="0" w:space="0" w:color="auto"/>
        <w:left w:val="none" w:sz="0" w:space="0" w:color="auto"/>
        <w:bottom w:val="none" w:sz="0" w:space="0" w:color="auto"/>
        <w:right w:val="none" w:sz="0" w:space="0" w:color="auto"/>
      </w:divBdr>
    </w:div>
    <w:div w:id="1309088768">
      <w:bodyDiv w:val="1"/>
      <w:marLeft w:val="0"/>
      <w:marRight w:val="0"/>
      <w:marTop w:val="0"/>
      <w:marBottom w:val="0"/>
      <w:divBdr>
        <w:top w:val="none" w:sz="0" w:space="0" w:color="auto"/>
        <w:left w:val="none" w:sz="0" w:space="0" w:color="auto"/>
        <w:bottom w:val="none" w:sz="0" w:space="0" w:color="auto"/>
        <w:right w:val="none" w:sz="0" w:space="0" w:color="auto"/>
      </w:divBdr>
    </w:div>
    <w:div w:id="1348407796">
      <w:bodyDiv w:val="1"/>
      <w:marLeft w:val="0"/>
      <w:marRight w:val="0"/>
      <w:marTop w:val="0"/>
      <w:marBottom w:val="0"/>
      <w:divBdr>
        <w:top w:val="none" w:sz="0" w:space="0" w:color="auto"/>
        <w:left w:val="none" w:sz="0" w:space="0" w:color="auto"/>
        <w:bottom w:val="none" w:sz="0" w:space="0" w:color="auto"/>
        <w:right w:val="none" w:sz="0" w:space="0" w:color="auto"/>
      </w:divBdr>
    </w:div>
    <w:div w:id="1372222688">
      <w:bodyDiv w:val="1"/>
      <w:marLeft w:val="0"/>
      <w:marRight w:val="0"/>
      <w:marTop w:val="0"/>
      <w:marBottom w:val="0"/>
      <w:divBdr>
        <w:top w:val="none" w:sz="0" w:space="0" w:color="auto"/>
        <w:left w:val="none" w:sz="0" w:space="0" w:color="auto"/>
        <w:bottom w:val="none" w:sz="0" w:space="0" w:color="auto"/>
        <w:right w:val="none" w:sz="0" w:space="0" w:color="auto"/>
      </w:divBdr>
    </w:div>
    <w:div w:id="1432504698">
      <w:bodyDiv w:val="1"/>
      <w:marLeft w:val="0"/>
      <w:marRight w:val="0"/>
      <w:marTop w:val="0"/>
      <w:marBottom w:val="0"/>
      <w:divBdr>
        <w:top w:val="none" w:sz="0" w:space="0" w:color="auto"/>
        <w:left w:val="none" w:sz="0" w:space="0" w:color="auto"/>
        <w:bottom w:val="none" w:sz="0" w:space="0" w:color="auto"/>
        <w:right w:val="none" w:sz="0" w:space="0" w:color="auto"/>
      </w:divBdr>
    </w:div>
    <w:div w:id="1504203989">
      <w:bodyDiv w:val="1"/>
      <w:marLeft w:val="0"/>
      <w:marRight w:val="0"/>
      <w:marTop w:val="0"/>
      <w:marBottom w:val="0"/>
      <w:divBdr>
        <w:top w:val="none" w:sz="0" w:space="0" w:color="auto"/>
        <w:left w:val="none" w:sz="0" w:space="0" w:color="auto"/>
        <w:bottom w:val="none" w:sz="0" w:space="0" w:color="auto"/>
        <w:right w:val="none" w:sz="0" w:space="0" w:color="auto"/>
      </w:divBdr>
    </w:div>
    <w:div w:id="1601446776">
      <w:bodyDiv w:val="1"/>
      <w:marLeft w:val="0"/>
      <w:marRight w:val="0"/>
      <w:marTop w:val="0"/>
      <w:marBottom w:val="0"/>
      <w:divBdr>
        <w:top w:val="none" w:sz="0" w:space="0" w:color="auto"/>
        <w:left w:val="none" w:sz="0" w:space="0" w:color="auto"/>
        <w:bottom w:val="none" w:sz="0" w:space="0" w:color="auto"/>
        <w:right w:val="none" w:sz="0" w:space="0" w:color="auto"/>
      </w:divBdr>
    </w:div>
    <w:div w:id="1710958518">
      <w:bodyDiv w:val="1"/>
      <w:marLeft w:val="0"/>
      <w:marRight w:val="0"/>
      <w:marTop w:val="0"/>
      <w:marBottom w:val="0"/>
      <w:divBdr>
        <w:top w:val="none" w:sz="0" w:space="0" w:color="auto"/>
        <w:left w:val="none" w:sz="0" w:space="0" w:color="auto"/>
        <w:bottom w:val="none" w:sz="0" w:space="0" w:color="auto"/>
        <w:right w:val="none" w:sz="0" w:space="0" w:color="auto"/>
      </w:divBdr>
    </w:div>
    <w:div w:id="1756902878">
      <w:bodyDiv w:val="1"/>
      <w:marLeft w:val="0"/>
      <w:marRight w:val="0"/>
      <w:marTop w:val="0"/>
      <w:marBottom w:val="0"/>
      <w:divBdr>
        <w:top w:val="none" w:sz="0" w:space="0" w:color="auto"/>
        <w:left w:val="none" w:sz="0" w:space="0" w:color="auto"/>
        <w:bottom w:val="none" w:sz="0" w:space="0" w:color="auto"/>
        <w:right w:val="none" w:sz="0" w:space="0" w:color="auto"/>
      </w:divBdr>
    </w:div>
    <w:div w:id="1848330124">
      <w:bodyDiv w:val="1"/>
      <w:marLeft w:val="0"/>
      <w:marRight w:val="0"/>
      <w:marTop w:val="0"/>
      <w:marBottom w:val="0"/>
      <w:divBdr>
        <w:top w:val="none" w:sz="0" w:space="0" w:color="auto"/>
        <w:left w:val="none" w:sz="0" w:space="0" w:color="auto"/>
        <w:bottom w:val="none" w:sz="0" w:space="0" w:color="auto"/>
        <w:right w:val="none" w:sz="0" w:space="0" w:color="auto"/>
      </w:divBdr>
    </w:div>
    <w:div w:id="1933972123">
      <w:bodyDiv w:val="1"/>
      <w:marLeft w:val="0"/>
      <w:marRight w:val="0"/>
      <w:marTop w:val="0"/>
      <w:marBottom w:val="0"/>
      <w:divBdr>
        <w:top w:val="none" w:sz="0" w:space="0" w:color="auto"/>
        <w:left w:val="none" w:sz="0" w:space="0" w:color="auto"/>
        <w:bottom w:val="none" w:sz="0" w:space="0" w:color="auto"/>
        <w:right w:val="none" w:sz="0" w:space="0" w:color="auto"/>
      </w:divBdr>
    </w:div>
    <w:div w:id="2020037769">
      <w:bodyDiv w:val="1"/>
      <w:marLeft w:val="0"/>
      <w:marRight w:val="0"/>
      <w:marTop w:val="0"/>
      <w:marBottom w:val="0"/>
      <w:divBdr>
        <w:top w:val="none" w:sz="0" w:space="0" w:color="auto"/>
        <w:left w:val="none" w:sz="0" w:space="0" w:color="auto"/>
        <w:bottom w:val="none" w:sz="0" w:space="0" w:color="auto"/>
        <w:right w:val="none" w:sz="0" w:space="0" w:color="auto"/>
      </w:divBdr>
    </w:div>
    <w:div w:id="2111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rlrc.org.au/files/human-rights-consultation-submis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Company/>
  <LinksUpToDate>false</LinksUpToDate>
  <CharactersWithSpaces>11426</CharactersWithSpaces>
  <SharedDoc>false</SharedDoc>
  <HLinks>
    <vt:vector size="12" baseType="variant">
      <vt:variant>
        <vt:i4>1507391</vt:i4>
      </vt:variant>
      <vt:variant>
        <vt:i4>-1</vt:i4>
      </vt:variant>
      <vt:variant>
        <vt:i4>2358</vt:i4>
      </vt:variant>
      <vt:variant>
        <vt:i4>1</vt:i4>
      </vt:variant>
      <vt:variant>
        <vt:lpwstr>\\sydfps\apps\Data\Templates\AARTemplates\WIP\AllensLogos\Color\Allens_Logo_Pos_rgb 40mm.jpg</vt:lpwstr>
      </vt:variant>
      <vt:variant>
        <vt:lpwstr/>
      </vt:variant>
      <vt:variant>
        <vt:i4>1507391</vt:i4>
      </vt:variant>
      <vt:variant>
        <vt:i4>-1</vt:i4>
      </vt:variant>
      <vt:variant>
        <vt:i4>2367</vt:i4>
      </vt:variant>
      <vt:variant>
        <vt:i4>1</vt:i4>
      </vt:variant>
      <vt:variant>
        <vt:lpwstr>\\sydfps\apps\Data\Templates\AARTemplates\WIP\AllensLogos\Color\Allens_Logo_Pos_rgb 40mm.jpg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2016-02-17T03:48:00Z</dcterms:created>
  <dcterms:modified xsi:type="dcterms:W3CDTF">2016-02-17T03:48:00Z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mypb A0135513503v1 150000 </vt:lpwstr>
  </property>
  <property fmtid="{D5CDD505-2E9C-101B-9397-08002B2CF9AE}" pid="3" name="DOCSDocNumber">
    <vt:lpwstr>35513503</vt:lpwstr>
  </property>
  <property fmtid="{D5CDD505-2E9C-101B-9397-08002B2CF9AE}" pid="4" name="DOCSDocumentID">
    <vt:lpwstr>A0135513503</vt:lpwstr>
  </property>
  <property fmtid="{D5CDD505-2E9C-101B-9397-08002B2CF9AE}" pid="5" name="DOCSDocName">
    <vt:lpwstr>Charter of Human Rights Act in Queensland - Options Paper - Scope of Application</vt:lpwstr>
  </property>
  <property fmtid="{D5CDD505-2E9C-101B-9397-08002B2CF9AE}" pid="6" name="DOCSAuthorID">
    <vt:lpwstr>mypb</vt:lpwstr>
  </property>
  <property fmtid="{D5CDD505-2E9C-101B-9397-08002B2CF9AE}" pid="7" name="DOCSAuthorName">
    <vt:lpwstr>Proctor, Matthew</vt:lpwstr>
  </property>
  <property fmtid="{D5CDD505-2E9C-101B-9397-08002B2CF9AE}" pid="8" name="DOCSMatterID">
    <vt:lpwstr>150000</vt:lpwstr>
  </property>
  <property fmtid="{D5CDD505-2E9C-101B-9397-08002B2CF9AE}" pid="9" name="DOCSMatterName">
    <vt:lpwstr>Office Administration</vt:lpwstr>
  </property>
  <property fmtid="{D5CDD505-2E9C-101B-9397-08002B2CF9AE}" pid="10" name="DOCSTypistID">
    <vt:lpwstr>izvb</vt:lpwstr>
  </property>
  <property fmtid="{D5CDD505-2E9C-101B-9397-08002B2CF9AE}" pid="11" name="DOCSTypistName">
    <vt:lpwstr>Vecchio, Isabella</vt:lpwstr>
  </property>
  <property fmtid="{D5CDD505-2E9C-101B-9397-08002B2CF9AE}" pid="12" name="DOCSDocTypeDsc">
    <vt:lpwstr>DOCSDocTypeDsc</vt:lpwstr>
  </property>
  <property fmtid="{D5CDD505-2E9C-101B-9397-08002B2CF9AE}" pid="13" name="DOCSCreationDate">
    <vt:lpwstr>16/02/2016 1:34:23 PM</vt:lpwstr>
  </property>
  <property fmtid="{D5CDD505-2E9C-101B-9397-08002B2CF9AE}" pid="14" name="DOCSLastEditDate">
    <vt:lpwstr>16/02/2016 1:34:33 PM</vt:lpwstr>
  </property>
  <property fmtid="{D5CDD505-2E9C-101B-9397-08002B2CF9AE}" pid="15" name="DOCSClientID">
    <vt:lpwstr/>
  </property>
  <property fmtid="{D5CDD505-2E9C-101B-9397-08002B2CF9AE}" pid="16" name="DOCSClientName">
    <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1</vt:lpwstr>
  </property>
  <property fmtid="{D5CDD505-2E9C-101B-9397-08002B2CF9AE}" pid="20" name="DOCSDocTypeID">
    <vt:lpwstr>Document</vt:lpwstr>
  </property>
</Properties>
</file>