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52" w:rsidRPr="00D16752" w:rsidRDefault="00D16752" w:rsidP="0019401C">
      <w:pPr>
        <w:pStyle w:val="ContentsHeading"/>
        <w:jc w:val="both"/>
        <w:rPr>
          <w:sz w:val="20"/>
        </w:rPr>
      </w:pPr>
      <w:r>
        <w:t xml:space="preserve">Charter of Human Rights Act in Queensland – Options Paper – Mechanisms </w:t>
      </w:r>
    </w:p>
    <w:p w:rsidR="00D16752" w:rsidRDefault="00D16752" w:rsidP="0019401C">
      <w:pPr>
        <w:pStyle w:val="AllensHeading1"/>
        <w:jc w:val="both"/>
      </w:pPr>
      <w:r w:rsidRPr="00F1530E">
        <w:t>Introduction</w:t>
      </w:r>
    </w:p>
    <w:p w:rsidR="00DC59F0" w:rsidRDefault="00DC59F0" w:rsidP="0019401C">
      <w:pPr>
        <w:pStyle w:val="NormalIndent"/>
        <w:jc w:val="both"/>
      </w:pPr>
      <w:r w:rsidRPr="00DC59F0">
        <w:t>The Queensland Parliament is currently considering the introduction of human rights legislation in Queensland</w:t>
      </w:r>
      <w:r w:rsidR="00634E9D">
        <w:t xml:space="preserve"> (the </w:t>
      </w:r>
      <w:r w:rsidR="00634E9D">
        <w:rPr>
          <w:b/>
          <w:i/>
        </w:rPr>
        <w:t>Queensland Charter</w:t>
      </w:r>
      <w:r w:rsidR="00634E9D" w:rsidRPr="00634E9D">
        <w:t>)</w:t>
      </w:r>
      <w:r w:rsidRPr="00DC59F0">
        <w:t xml:space="preserve">. </w:t>
      </w:r>
      <w:r w:rsidR="00634E9D">
        <w:t>QAILS</w:t>
      </w:r>
      <w:r w:rsidRPr="00DC59F0">
        <w:t xml:space="preserve"> ha</w:t>
      </w:r>
      <w:r w:rsidR="00634E9D">
        <w:t>s</w:t>
      </w:r>
      <w:r w:rsidRPr="00DC59F0">
        <w:t xml:space="preserve"> </w:t>
      </w:r>
      <w:r w:rsidR="00B46501">
        <w:t>asked</w:t>
      </w:r>
      <w:r w:rsidRPr="00DC59F0">
        <w:t xml:space="preserve"> us to </w:t>
      </w:r>
      <w:r w:rsidR="00634E9D">
        <w:t>prepare</w:t>
      </w:r>
      <w:r w:rsidRPr="00DC59F0">
        <w:t xml:space="preserve"> a submission to advocate for the mechanisms to b</w:t>
      </w:r>
      <w:r w:rsidR="00634E9D">
        <w:t>e included in such legislation</w:t>
      </w:r>
      <w:r w:rsidRPr="00DC59F0">
        <w:t>.</w:t>
      </w:r>
    </w:p>
    <w:p w:rsidR="00D16752" w:rsidRPr="002233BD" w:rsidRDefault="00E96320" w:rsidP="0019401C">
      <w:pPr>
        <w:pStyle w:val="AllensHeading1"/>
        <w:jc w:val="both"/>
      </w:pPr>
      <w:r>
        <w:t>Summary</w:t>
      </w:r>
    </w:p>
    <w:p w:rsidR="002013AE" w:rsidRDefault="00C6752E" w:rsidP="00ED2DF2">
      <w:pPr>
        <w:pStyle w:val="AllensHeading3"/>
        <w:numPr>
          <w:ilvl w:val="0"/>
          <w:numId w:val="0"/>
        </w:numPr>
        <w:ind w:left="709"/>
      </w:pPr>
      <w:r w:rsidRPr="00C7351A">
        <w:t xml:space="preserve">This paper outlines the various positions QAILS may wish to support in relation to the </w:t>
      </w:r>
      <w:r>
        <w:t xml:space="preserve">mechanisms </w:t>
      </w:r>
      <w:r w:rsidR="00634E9D">
        <w:t>that</w:t>
      </w:r>
      <w:r>
        <w:t xml:space="preserve"> could be </w:t>
      </w:r>
      <w:r w:rsidR="00634E9D">
        <w:t>adopted</w:t>
      </w:r>
      <w:r>
        <w:t xml:space="preserve"> in </w:t>
      </w:r>
      <w:r w:rsidRPr="00C7351A">
        <w:t>the Queensland Charter</w:t>
      </w:r>
      <w:r w:rsidR="00634E9D">
        <w:t>. It does so</w:t>
      </w:r>
      <w:r w:rsidR="002013AE">
        <w:t xml:space="preserve"> by drawing on </w:t>
      </w:r>
      <w:r w:rsidR="00634E9D">
        <w:t xml:space="preserve">current </w:t>
      </w:r>
      <w:r w:rsidR="002013AE">
        <w:t xml:space="preserve">examples from </w:t>
      </w:r>
      <w:r w:rsidR="00634E9D">
        <w:t xml:space="preserve">human rights legislation in </w:t>
      </w:r>
      <w:r w:rsidR="002013AE">
        <w:t>the ACT, Victoria, UK and New Zealand</w:t>
      </w:r>
      <w:r>
        <w:t xml:space="preserve">. </w:t>
      </w:r>
    </w:p>
    <w:p w:rsidR="00C6752E" w:rsidRDefault="00C6752E" w:rsidP="00ED2DF2">
      <w:pPr>
        <w:pStyle w:val="AllensHeading3"/>
        <w:numPr>
          <w:ilvl w:val="0"/>
          <w:numId w:val="0"/>
        </w:numPr>
        <w:ind w:left="709"/>
      </w:pPr>
      <w:r>
        <w:t xml:space="preserve">The </w:t>
      </w:r>
      <w:r w:rsidR="00634E9D">
        <w:t xml:space="preserve">available </w:t>
      </w:r>
      <w:r>
        <w:t xml:space="preserve">mechanisms </w:t>
      </w:r>
      <w:r w:rsidR="00B46501">
        <w:t>are</w:t>
      </w:r>
      <w:r>
        <w:t xml:space="preserve"> broadly summarised as follows:</w:t>
      </w:r>
    </w:p>
    <w:p w:rsidR="00C6752E" w:rsidRDefault="00B46501" w:rsidP="00C6752E">
      <w:pPr>
        <w:pStyle w:val="Bullet2"/>
      </w:pPr>
      <w:r>
        <w:t xml:space="preserve">mechanisms </w:t>
      </w:r>
      <w:r w:rsidR="00C6752E">
        <w:t>relating to s</w:t>
      </w:r>
      <w:r w:rsidR="00C6752E" w:rsidRPr="00C6752E">
        <w:t>crutiny of new legislation</w:t>
      </w:r>
      <w:r w:rsidR="00C6752E">
        <w:t xml:space="preserve"> (</w:t>
      </w:r>
      <w:r w:rsidR="00634E9D">
        <w:t xml:space="preserve">discussed in </w:t>
      </w:r>
      <w:r w:rsidR="00C6752E">
        <w:t>part 3 of this paper);</w:t>
      </w:r>
    </w:p>
    <w:p w:rsidR="00C6752E" w:rsidRDefault="00B46501" w:rsidP="00C6752E">
      <w:pPr>
        <w:pStyle w:val="Bullet2"/>
      </w:pPr>
      <w:r>
        <w:t xml:space="preserve">mechanisms </w:t>
      </w:r>
      <w:r w:rsidR="00C6752E">
        <w:t>relating to the i</w:t>
      </w:r>
      <w:r w:rsidR="00C6752E" w:rsidRPr="00C6752E">
        <w:t>nterpretation of laws</w:t>
      </w:r>
      <w:r w:rsidR="00C6752E">
        <w:t xml:space="preserve"> (part 4);</w:t>
      </w:r>
    </w:p>
    <w:p w:rsidR="00C6752E" w:rsidRDefault="00B46501" w:rsidP="00C6752E">
      <w:pPr>
        <w:pStyle w:val="Bullet2"/>
      </w:pPr>
      <w:r w:rsidRPr="00C6752E">
        <w:t xml:space="preserve">obligations </w:t>
      </w:r>
      <w:r w:rsidR="00C6752E" w:rsidRPr="00C6752E">
        <w:t>on public authorities</w:t>
      </w:r>
      <w:r w:rsidR="00C6752E">
        <w:t xml:space="preserve"> (part 5);</w:t>
      </w:r>
      <w:r w:rsidR="00C6752E" w:rsidRPr="00C6752E">
        <w:t xml:space="preserve"> </w:t>
      </w:r>
    </w:p>
    <w:p w:rsidR="00C6752E" w:rsidRDefault="00B46501" w:rsidP="00C6752E">
      <w:pPr>
        <w:pStyle w:val="Bullet2"/>
      </w:pPr>
      <w:r>
        <w:t xml:space="preserve">functions </w:t>
      </w:r>
      <w:r w:rsidR="00C6752E">
        <w:t>and powers of a h</w:t>
      </w:r>
      <w:r w:rsidR="00C6752E" w:rsidRPr="00C6752E">
        <w:t>uman rights commission</w:t>
      </w:r>
      <w:r w:rsidR="00C6752E">
        <w:t xml:space="preserve"> (part 6); and</w:t>
      </w:r>
    </w:p>
    <w:p w:rsidR="00C6752E" w:rsidRDefault="00B46501" w:rsidP="00C6752E">
      <w:pPr>
        <w:pStyle w:val="Bullet2"/>
      </w:pPr>
      <w:r>
        <w:t xml:space="preserve">statutory </w:t>
      </w:r>
      <w:r w:rsidR="00C6752E">
        <w:t>review provisions (part 7).</w:t>
      </w:r>
    </w:p>
    <w:p w:rsidR="00C6752E" w:rsidRDefault="00C6752E" w:rsidP="00ED2DF2">
      <w:pPr>
        <w:pStyle w:val="AllensHeading3"/>
        <w:numPr>
          <w:ilvl w:val="0"/>
          <w:numId w:val="0"/>
        </w:numPr>
        <w:ind w:left="709"/>
      </w:pPr>
      <w:r w:rsidRPr="00C6752E">
        <w:t xml:space="preserve">If QAILS wishes to advocate for </w:t>
      </w:r>
      <w:r>
        <w:t>particular mechanisms</w:t>
      </w:r>
      <w:r w:rsidR="00634E9D">
        <w:t xml:space="preserve"> in a Queensland Charter</w:t>
      </w:r>
      <w:r w:rsidRPr="00C6752E">
        <w:t xml:space="preserve">, it should form a view as to its preferred </w:t>
      </w:r>
      <w:r>
        <w:t>approach in relation to those mechanisms</w:t>
      </w:r>
      <w:r w:rsidRPr="00C6752E">
        <w:t>.</w:t>
      </w:r>
      <w:r>
        <w:t xml:space="preserve"> </w:t>
      </w:r>
    </w:p>
    <w:p w:rsidR="00ED2DF2" w:rsidRPr="004F4F2E" w:rsidRDefault="00C6752E" w:rsidP="00ED2DF2">
      <w:pPr>
        <w:pStyle w:val="AllensHeading3"/>
        <w:numPr>
          <w:ilvl w:val="0"/>
          <w:numId w:val="0"/>
        </w:numPr>
        <w:ind w:left="709"/>
        <w:rPr>
          <w:i/>
        </w:rPr>
      </w:pPr>
      <w:r w:rsidRPr="00241BF3">
        <w:t xml:space="preserve">For the definition of key terms and acronyms used in this paper, please refer to the Glossary on page </w:t>
      </w:r>
      <w:r w:rsidR="002013AE">
        <w:t>6</w:t>
      </w:r>
      <w:r>
        <w:t>.</w:t>
      </w:r>
    </w:p>
    <w:p w:rsidR="005131C0" w:rsidRDefault="005131C0" w:rsidP="00E96320">
      <w:pPr>
        <w:pStyle w:val="AllensHeading1"/>
        <w:jc w:val="both"/>
      </w:pPr>
      <w:r>
        <w:t>Scrutiny of new legislation</w:t>
      </w:r>
    </w:p>
    <w:p w:rsidR="00E574C4" w:rsidRDefault="00C6256B" w:rsidP="00E574C4">
      <w:pPr>
        <w:pStyle w:val="AllensHeading2"/>
      </w:pPr>
      <w:r>
        <w:t>S</w:t>
      </w:r>
      <w:r w:rsidRPr="00064AB5">
        <w:t>tatement</w:t>
      </w:r>
      <w:r w:rsidR="00F24623">
        <w:t>s</w:t>
      </w:r>
      <w:r w:rsidRPr="00064AB5">
        <w:t xml:space="preserve"> of compatibility </w:t>
      </w:r>
    </w:p>
    <w:p w:rsidR="00C6256B" w:rsidRDefault="00C2169A" w:rsidP="00C6256B">
      <w:pPr>
        <w:pStyle w:val="AllensHeading3"/>
        <w:numPr>
          <w:ilvl w:val="0"/>
          <w:numId w:val="0"/>
        </w:numPr>
        <w:ind w:left="709"/>
      </w:pPr>
      <w:r>
        <w:t>A Queensland Charter could require n</w:t>
      </w:r>
      <w:r w:rsidR="00C6256B">
        <w:t xml:space="preserve">ew bills introduced to the </w:t>
      </w:r>
      <w:r w:rsidR="00B46501">
        <w:t xml:space="preserve">Queensland </w:t>
      </w:r>
      <w:r w:rsidR="00C6256B">
        <w:t>Parliament to be accompanied by a statement of compatibility with human rights.</w:t>
      </w:r>
      <w:r w:rsidR="00870BE4">
        <w:t xml:space="preserve"> This is the position in the ACT</w:t>
      </w:r>
      <w:r>
        <w:t> </w:t>
      </w:r>
      <w:proofErr w:type="spellStart"/>
      <w:r w:rsidR="00870BE4">
        <w:t>Act</w:t>
      </w:r>
      <w:proofErr w:type="spellEnd"/>
      <w:r w:rsidR="00C7299C">
        <w:t xml:space="preserve"> and Victorian Charter</w:t>
      </w:r>
      <w:r w:rsidR="00870BE4">
        <w:t>.</w:t>
      </w:r>
      <w:r w:rsidR="00870BE4">
        <w:rPr>
          <w:rStyle w:val="FootnoteReference"/>
        </w:rPr>
        <w:footnoteReference w:id="1"/>
      </w:r>
      <w:r w:rsidR="00A41D09">
        <w:t xml:space="preserve"> </w:t>
      </w:r>
    </w:p>
    <w:p w:rsidR="00C6256B" w:rsidRDefault="00A91328" w:rsidP="00C6256B">
      <w:pPr>
        <w:pStyle w:val="AllensHeading3"/>
        <w:numPr>
          <w:ilvl w:val="0"/>
          <w:numId w:val="0"/>
        </w:numPr>
        <w:ind w:left="709"/>
      </w:pPr>
      <w:r>
        <w:t xml:space="preserve">It has been argued that </w:t>
      </w:r>
      <w:r w:rsidR="00C2169A">
        <w:t>the Victorian</w:t>
      </w:r>
      <w:r w:rsidRPr="00A91328">
        <w:t xml:space="preserve"> </w:t>
      </w:r>
      <w:r w:rsidR="00C2169A">
        <w:t>process in particular has been designed</w:t>
      </w:r>
      <w:r w:rsidRPr="00A91328">
        <w:t xml:space="preserve"> to ensure that Members of Parliament take responsibility for the human rights impact of their legislation</w:t>
      </w:r>
      <w:r w:rsidR="00C2169A">
        <w:t>,</w:t>
      </w:r>
      <w:r w:rsidRPr="00A91328">
        <w:t xml:space="preserve"> and to assist Parliament in its </w:t>
      </w:r>
      <w:r w:rsidR="00C2169A">
        <w:t>consideration of bills</w:t>
      </w:r>
      <w:r w:rsidR="00870BE4" w:rsidRPr="00A91328">
        <w:t>.</w:t>
      </w:r>
      <w:r w:rsidR="00C6256B" w:rsidRPr="00A91328">
        <w:rPr>
          <w:rStyle w:val="FootnoteReference"/>
        </w:rPr>
        <w:footnoteReference w:id="2"/>
      </w:r>
    </w:p>
    <w:p w:rsidR="00C7299C" w:rsidRDefault="00927E35" w:rsidP="00C6256B">
      <w:pPr>
        <w:pStyle w:val="AllensHeading3"/>
        <w:numPr>
          <w:ilvl w:val="0"/>
          <w:numId w:val="0"/>
        </w:numPr>
        <w:ind w:left="709"/>
      </w:pPr>
      <w:r>
        <w:t>A</w:t>
      </w:r>
      <w:r w:rsidR="00C7299C">
        <w:t xml:space="preserve"> failure to comply with the requirement for a statement of compatibility </w:t>
      </w:r>
      <w:r>
        <w:t>should</w:t>
      </w:r>
      <w:r w:rsidR="00C7299C">
        <w:t xml:space="preserve"> not affect the validity, operation or enforcement of any </w:t>
      </w:r>
      <w:r w:rsidR="00DB740E">
        <w:t>law</w:t>
      </w:r>
      <w:r w:rsidR="00C7299C">
        <w:t>.</w:t>
      </w:r>
      <w:r w:rsidR="00C7299C">
        <w:rPr>
          <w:rStyle w:val="FootnoteReference"/>
        </w:rPr>
        <w:footnoteReference w:id="3"/>
      </w:r>
    </w:p>
    <w:p w:rsidR="00C93484" w:rsidRPr="00C93484" w:rsidRDefault="00C93484" w:rsidP="00C6256B">
      <w:pPr>
        <w:pStyle w:val="AllensHeading3"/>
        <w:numPr>
          <w:ilvl w:val="0"/>
          <w:numId w:val="0"/>
        </w:numPr>
        <w:ind w:left="709"/>
        <w:rPr>
          <w:b/>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new bills introduced into Queensland Parliament to be accompanied by a statement of compatibility with the Charter</w:t>
      </w:r>
      <w:r w:rsidRPr="00C93484">
        <w:rPr>
          <w:b/>
          <w:i/>
          <w:highlight w:val="yellow"/>
        </w:rPr>
        <w:t>]</w:t>
      </w:r>
    </w:p>
    <w:p w:rsidR="00C6256B" w:rsidRDefault="00C6256B" w:rsidP="00C6256B">
      <w:pPr>
        <w:pStyle w:val="AllensHeading2"/>
        <w:jc w:val="both"/>
      </w:pPr>
      <w:r w:rsidRPr="00064AB5">
        <w:lastRenderedPageBreak/>
        <w:t xml:space="preserve">New laws to be </w:t>
      </w:r>
      <w:r w:rsidR="00C7299C">
        <w:t>considered</w:t>
      </w:r>
      <w:r>
        <w:t xml:space="preserve"> by </w:t>
      </w:r>
      <w:r w:rsidR="00281172">
        <w:t>c</w:t>
      </w:r>
      <w:r w:rsidRPr="00064AB5">
        <w:t>ommittee</w:t>
      </w:r>
    </w:p>
    <w:p w:rsidR="00C6256B" w:rsidRDefault="00C6256B" w:rsidP="00C7299C">
      <w:pPr>
        <w:pStyle w:val="AllensHeading3"/>
        <w:numPr>
          <w:ilvl w:val="0"/>
          <w:numId w:val="0"/>
        </w:numPr>
        <w:ind w:left="709"/>
      </w:pPr>
      <w:r>
        <w:t xml:space="preserve">The Queensland Charter </w:t>
      </w:r>
      <w:r w:rsidR="00281172">
        <w:t>may</w:t>
      </w:r>
      <w:r>
        <w:t xml:space="preserve"> also require </w:t>
      </w:r>
      <w:r w:rsidR="00281172">
        <w:t>new</w:t>
      </w:r>
      <w:r>
        <w:t xml:space="preserve"> </w:t>
      </w:r>
      <w:r w:rsidR="00281172">
        <w:t>b</w:t>
      </w:r>
      <w:r w:rsidRPr="00064AB5">
        <w:t>ill</w:t>
      </w:r>
      <w:r w:rsidR="00281172">
        <w:t>s</w:t>
      </w:r>
      <w:r w:rsidRPr="00064AB5">
        <w:t xml:space="preserve"> </w:t>
      </w:r>
      <w:r>
        <w:t xml:space="preserve">to </w:t>
      </w:r>
      <w:r w:rsidRPr="00064AB5">
        <w:t>be scrutinised by a parli</w:t>
      </w:r>
      <w:r>
        <w:t xml:space="preserve">amentary </w:t>
      </w:r>
      <w:r w:rsidR="009132C7">
        <w:t xml:space="preserve">standing </w:t>
      </w:r>
      <w:r w:rsidR="00281172">
        <w:t>c</w:t>
      </w:r>
      <w:r>
        <w:t>ommittee. T</w:t>
      </w:r>
      <w:r w:rsidR="00281172">
        <w:t>he c</w:t>
      </w:r>
      <w:r>
        <w:t xml:space="preserve">ommittee would report to </w:t>
      </w:r>
      <w:r w:rsidR="00281172">
        <w:t xml:space="preserve">the </w:t>
      </w:r>
      <w:r w:rsidR="00B46501">
        <w:t xml:space="preserve">Queensland </w:t>
      </w:r>
      <w:r>
        <w:t xml:space="preserve">Parliament on </w:t>
      </w:r>
      <w:r w:rsidR="00281172">
        <w:t>the compatibility of the bill with human rights</w:t>
      </w:r>
      <w:r>
        <w:t>.</w:t>
      </w:r>
      <w:r w:rsidR="00281172">
        <w:t xml:space="preserve"> This is the position in </w:t>
      </w:r>
      <w:r w:rsidR="009132C7">
        <w:t xml:space="preserve">the ACT </w:t>
      </w:r>
      <w:proofErr w:type="spellStart"/>
      <w:r w:rsidR="00B46501">
        <w:t>Act</w:t>
      </w:r>
      <w:proofErr w:type="spellEnd"/>
      <w:r w:rsidR="00B46501">
        <w:t xml:space="preserve"> </w:t>
      </w:r>
      <w:r w:rsidR="009132C7">
        <w:t xml:space="preserve">and </w:t>
      </w:r>
      <w:r w:rsidR="00281172">
        <w:t>Victoria</w:t>
      </w:r>
      <w:r w:rsidR="00B46501">
        <w:t>n Charter</w:t>
      </w:r>
      <w:r w:rsidR="00281172">
        <w:t>.</w:t>
      </w:r>
      <w:r w:rsidR="00281172">
        <w:rPr>
          <w:rStyle w:val="FootnoteReference"/>
        </w:rPr>
        <w:footnoteReference w:id="4"/>
      </w:r>
      <w:r>
        <w:t xml:space="preserve"> </w:t>
      </w:r>
    </w:p>
    <w:p w:rsidR="00B46501" w:rsidRDefault="00C212D9" w:rsidP="00B46501">
      <w:pPr>
        <w:pStyle w:val="AllensHeading3"/>
        <w:numPr>
          <w:ilvl w:val="0"/>
          <w:numId w:val="0"/>
        </w:numPr>
        <w:ind w:left="709"/>
      </w:pPr>
      <w:r>
        <w:t>A recent independent review of the Victorian Charter recommended that t</w:t>
      </w:r>
      <w:r w:rsidRPr="00C212D9">
        <w:t xml:space="preserve">he Victorian Government refer amendments to non-Victorian laws that apply in Victoria under a national scheme, and to Regulations </w:t>
      </w:r>
      <w:r w:rsidR="00B46501">
        <w:t xml:space="preserve">made </w:t>
      </w:r>
      <w:r w:rsidRPr="00C212D9">
        <w:t>under those laws, to the Scrutiny of Acts and Regulations Committee for consideration</w:t>
      </w:r>
      <w:r>
        <w:t>.</w:t>
      </w:r>
      <w:r>
        <w:rPr>
          <w:rStyle w:val="FootnoteReference"/>
        </w:rPr>
        <w:footnoteReference w:id="5"/>
      </w:r>
    </w:p>
    <w:p w:rsidR="00B46501" w:rsidRDefault="00B46501" w:rsidP="00B46501">
      <w:pPr>
        <w:pStyle w:val="AllensHeading3"/>
        <w:numPr>
          <w:ilvl w:val="0"/>
          <w:numId w:val="0"/>
        </w:numPr>
        <w:ind w:left="709"/>
      </w:pPr>
      <w:r>
        <w:t>In the ACT, t</w:t>
      </w:r>
      <w:r w:rsidRPr="0011127A">
        <w:t xml:space="preserve">he </w:t>
      </w:r>
      <w:r>
        <w:t xml:space="preserve">ACT </w:t>
      </w:r>
      <w:r w:rsidRPr="0011127A">
        <w:t xml:space="preserve">Government </w:t>
      </w:r>
      <w:r>
        <w:t>concluded in a recent review that it would not</w:t>
      </w:r>
      <w:r w:rsidRPr="0011127A">
        <w:t xml:space="preserve"> change t</w:t>
      </w:r>
      <w:r>
        <w:t>he current legislative scrutiny process, however it</w:t>
      </w:r>
      <w:r w:rsidRPr="0011127A">
        <w:t xml:space="preserve"> will maintain a watching brief on the Commonwealth scrutiny of bills scheme</w:t>
      </w:r>
      <w:r>
        <w:t>. It would be prudent for the Queensland Government to do similarly.</w:t>
      </w:r>
      <w:r>
        <w:rPr>
          <w:rStyle w:val="FootnoteReference"/>
        </w:rPr>
        <w:footnoteReference w:id="6"/>
      </w:r>
      <w:r>
        <w:t xml:space="preserve"> </w:t>
      </w:r>
    </w:p>
    <w:p w:rsidR="00121248" w:rsidRDefault="00C93484" w:rsidP="00C93484">
      <w:pPr>
        <w:pStyle w:val="AllensHeading3"/>
        <w:numPr>
          <w:ilvl w:val="0"/>
          <w:numId w:val="0"/>
        </w:numPr>
        <w:ind w:left="709"/>
        <w:rPr>
          <w:b/>
          <w:i/>
          <w:highlight w:val="yellow"/>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new bills to be scrutinised by a standing committee for compliance with the Charter</w:t>
      </w:r>
      <w:r w:rsidR="00121248">
        <w:rPr>
          <w:b/>
          <w:i/>
          <w:highlight w:val="yellow"/>
        </w:rPr>
        <w:t>. If so, please also confirm:</w:t>
      </w:r>
    </w:p>
    <w:p w:rsidR="00121248" w:rsidRPr="00121248" w:rsidRDefault="00121248" w:rsidP="00121248">
      <w:pPr>
        <w:pStyle w:val="AllensHeading3"/>
        <w:rPr>
          <w:b/>
          <w:i/>
        </w:rPr>
      </w:pPr>
      <w:r w:rsidRPr="00121248">
        <w:rPr>
          <w:b/>
          <w:i/>
          <w:highlight w:val="yellow"/>
        </w:rPr>
        <w:t>Whether amendments to non-Qld laws that apply in Qld should also be referred to the standing committee; or</w:t>
      </w:r>
    </w:p>
    <w:p w:rsidR="00C93484" w:rsidRPr="00121248" w:rsidRDefault="00121248" w:rsidP="00121248">
      <w:pPr>
        <w:pStyle w:val="AllensHeading3"/>
        <w:rPr>
          <w:b/>
          <w:i/>
        </w:rPr>
      </w:pPr>
      <w:r w:rsidRPr="00121248">
        <w:rPr>
          <w:b/>
          <w:i/>
          <w:highlight w:val="yellow"/>
        </w:rPr>
        <w:t xml:space="preserve">It would be preferable to simply maintain a </w:t>
      </w:r>
      <w:r w:rsidRPr="00121248">
        <w:rPr>
          <w:b/>
          <w:i/>
          <w:highlight w:val="yellow"/>
        </w:rPr>
        <w:t>watching brief on the Commonwealth scrutiny of bills scheme.</w:t>
      </w:r>
      <w:r w:rsidR="00C93484" w:rsidRPr="00121248">
        <w:rPr>
          <w:b/>
          <w:i/>
          <w:highlight w:val="yellow"/>
        </w:rPr>
        <w:t>]</w:t>
      </w:r>
    </w:p>
    <w:p w:rsidR="005131C0" w:rsidRDefault="005131C0" w:rsidP="00E96320">
      <w:pPr>
        <w:pStyle w:val="AllensHeading1"/>
        <w:jc w:val="both"/>
      </w:pPr>
      <w:r>
        <w:t>Interpretation of laws</w:t>
      </w:r>
    </w:p>
    <w:p w:rsidR="004B2975" w:rsidRPr="00064AB5" w:rsidRDefault="004B2975" w:rsidP="004B2975">
      <w:pPr>
        <w:pStyle w:val="AllensHeading2"/>
        <w:jc w:val="both"/>
      </w:pPr>
      <w:r w:rsidRPr="00064AB5">
        <w:t>Courts to interpret laws in a manner consistent with human rights</w:t>
      </w:r>
    </w:p>
    <w:p w:rsidR="004B2975" w:rsidRDefault="004B2975" w:rsidP="004B2975">
      <w:pPr>
        <w:pStyle w:val="NormalIndent"/>
        <w:jc w:val="both"/>
      </w:pPr>
      <w:r>
        <w:t xml:space="preserve">All Queensland courts could be required to interpret laws in a manner consistent with the human rights identified in </w:t>
      </w:r>
      <w:r w:rsidRPr="00241BF3">
        <w:t xml:space="preserve">the Queensland Charter, so far as it is possible to do so consistently with the purpose of those laws. </w:t>
      </w:r>
      <w:r w:rsidR="00F77041" w:rsidRPr="00241BF3">
        <w:t xml:space="preserve">This is the position in the </w:t>
      </w:r>
      <w:r w:rsidR="00143A1E" w:rsidRPr="00241BF3">
        <w:t xml:space="preserve">ACT </w:t>
      </w:r>
      <w:proofErr w:type="spellStart"/>
      <w:r w:rsidR="00143A1E" w:rsidRPr="00241BF3">
        <w:t>Act</w:t>
      </w:r>
      <w:proofErr w:type="spellEnd"/>
      <w:r w:rsidR="00143A1E" w:rsidRPr="00241BF3">
        <w:t xml:space="preserve"> and </w:t>
      </w:r>
      <w:r w:rsidR="00F77041" w:rsidRPr="00241BF3">
        <w:t>Victorian Charter.</w:t>
      </w:r>
      <w:r w:rsidR="00F77041" w:rsidRPr="00241BF3">
        <w:rPr>
          <w:rStyle w:val="FootnoteReference"/>
        </w:rPr>
        <w:footnoteReference w:id="7"/>
      </w:r>
    </w:p>
    <w:p w:rsidR="004B2975" w:rsidRDefault="004B2975" w:rsidP="004B2975">
      <w:pPr>
        <w:pStyle w:val="NormalIndent"/>
        <w:jc w:val="both"/>
      </w:pPr>
      <w:r>
        <w:t>When interpreting the laws, the</w:t>
      </w:r>
      <w:r w:rsidRPr="00F2379A">
        <w:t xml:space="preserve"> courts</w:t>
      </w:r>
      <w:r>
        <w:t xml:space="preserve"> may be empowered to consider</w:t>
      </w:r>
      <w:r w:rsidRPr="00F2379A">
        <w:t xml:space="preserve"> </w:t>
      </w:r>
      <w:r w:rsidR="00143A1E">
        <w:t xml:space="preserve">international law and the </w:t>
      </w:r>
      <w:r>
        <w:t xml:space="preserve"> </w:t>
      </w:r>
      <w:r w:rsidR="00B46501">
        <w:t>judg</w:t>
      </w:r>
      <w:r w:rsidRPr="00F2379A">
        <w:t xml:space="preserve">ments of </w:t>
      </w:r>
      <w:r>
        <w:t xml:space="preserve">domestic, </w:t>
      </w:r>
      <w:r w:rsidRPr="00F2379A">
        <w:t xml:space="preserve">foreign </w:t>
      </w:r>
      <w:r>
        <w:t xml:space="preserve">and international courts and tribunals relevant to </w:t>
      </w:r>
      <w:r w:rsidR="00B46501">
        <w:t>the</w:t>
      </w:r>
      <w:r>
        <w:t xml:space="preserve"> human right</w:t>
      </w:r>
      <w:r w:rsidR="00B46501">
        <w:t xml:space="preserve"> or rights</w:t>
      </w:r>
      <w:r>
        <w:t xml:space="preserve">. </w:t>
      </w:r>
      <w:r w:rsidR="00F77041">
        <w:t>The Victorian Charter adopts this approach</w:t>
      </w:r>
      <w:r w:rsidR="00143A1E">
        <w:t xml:space="preserve">, as does the ACT </w:t>
      </w:r>
      <w:proofErr w:type="spellStart"/>
      <w:r w:rsidR="00143A1E">
        <w:t>Act</w:t>
      </w:r>
      <w:proofErr w:type="spellEnd"/>
      <w:r w:rsidR="00143A1E">
        <w:t xml:space="preserve"> (with the exception of </w:t>
      </w:r>
      <w:r w:rsidR="00B46501">
        <w:t xml:space="preserve">the </w:t>
      </w:r>
      <w:r w:rsidR="00143A1E">
        <w:t>reference to the judgments of domestic courts and tribunals)</w:t>
      </w:r>
      <w:r w:rsidR="00F77041">
        <w:t>.</w:t>
      </w:r>
      <w:r w:rsidR="00143A1E">
        <w:rPr>
          <w:rStyle w:val="FootnoteReference"/>
        </w:rPr>
        <w:footnoteReference w:id="8"/>
      </w:r>
      <w:r w:rsidR="00143A1E">
        <w:t xml:space="preserve"> The ACT </w:t>
      </w:r>
      <w:proofErr w:type="spellStart"/>
      <w:r w:rsidR="00143A1E">
        <w:t>Act</w:t>
      </w:r>
      <w:proofErr w:type="spellEnd"/>
      <w:r w:rsidR="00143A1E">
        <w:t xml:space="preserve"> provides the</w:t>
      </w:r>
      <w:r w:rsidR="007B6AB2">
        <w:t xml:space="preserve"> following</w:t>
      </w:r>
      <w:r w:rsidR="00143A1E">
        <w:t xml:space="preserve"> parameters for deciding whether the</w:t>
      </w:r>
      <w:r w:rsidR="00B46501">
        <w:t xml:space="preserve"> extraneous</w:t>
      </w:r>
      <w:r w:rsidR="00143A1E">
        <w:t xml:space="preserve"> materials should be considered, and their weight:</w:t>
      </w:r>
      <w:r>
        <w:t xml:space="preserve"> </w:t>
      </w:r>
    </w:p>
    <w:p w:rsidR="00143A1E" w:rsidRDefault="00B46501" w:rsidP="00143A1E">
      <w:pPr>
        <w:pStyle w:val="Bullet2"/>
      </w:pPr>
      <w:r>
        <w:t xml:space="preserve">the </w:t>
      </w:r>
      <w:r w:rsidR="007B6AB2">
        <w:t>desire to rely on the ordinary meaning of the Act;</w:t>
      </w:r>
    </w:p>
    <w:p w:rsidR="007B6AB2" w:rsidRDefault="00B46501" w:rsidP="00143A1E">
      <w:pPr>
        <w:pStyle w:val="Bullet2"/>
      </w:pPr>
      <w:r>
        <w:t xml:space="preserve">the </w:t>
      </w:r>
      <w:r w:rsidR="007B6AB2">
        <w:t>desire not to prolong proceedings; and</w:t>
      </w:r>
    </w:p>
    <w:p w:rsidR="007B6AB2" w:rsidRDefault="00B46501" w:rsidP="00143A1E">
      <w:pPr>
        <w:pStyle w:val="Bullet2"/>
      </w:pPr>
      <w:r>
        <w:t xml:space="preserve">the </w:t>
      </w:r>
      <w:r w:rsidR="007B6AB2">
        <w:t xml:space="preserve">public accessibility of the </w:t>
      </w:r>
      <w:r w:rsidR="00F21E25">
        <w:t xml:space="preserve">relevant </w:t>
      </w:r>
      <w:r w:rsidR="007B6AB2">
        <w:t>material.</w:t>
      </w:r>
      <w:r w:rsidR="007B6AB2">
        <w:rPr>
          <w:rStyle w:val="FootnoteReference"/>
        </w:rPr>
        <w:footnoteReference w:id="9"/>
      </w:r>
      <w:r w:rsidR="007B6AB2">
        <w:t xml:space="preserve"> </w:t>
      </w:r>
    </w:p>
    <w:p w:rsidR="002E0839" w:rsidRDefault="004B2975" w:rsidP="004B2975">
      <w:pPr>
        <w:pStyle w:val="NormalIndent"/>
        <w:jc w:val="both"/>
      </w:pPr>
      <w:r>
        <w:lastRenderedPageBreak/>
        <w:t xml:space="preserve">Consideration would need to be given </w:t>
      </w:r>
      <w:r w:rsidR="00903E32">
        <w:t xml:space="preserve">as </w:t>
      </w:r>
      <w:r>
        <w:t>to whether the provisions should affect the validity of an Act</w:t>
      </w:r>
      <w:r w:rsidR="00F21E25">
        <w:t>,</w:t>
      </w:r>
      <w:r w:rsidR="00F77041">
        <w:t xml:space="preserve"> subordinate instrument </w:t>
      </w:r>
      <w:r w:rsidR="00903E32">
        <w:t>(for example, a regulation or by-law)</w:t>
      </w:r>
      <w:r w:rsidR="00F21E25">
        <w:t xml:space="preserve"> </w:t>
      </w:r>
      <w:r w:rsidR="00F77041">
        <w:t xml:space="preserve">or provision </w:t>
      </w:r>
      <w:r>
        <w:t xml:space="preserve">that is incompatible with a human right. </w:t>
      </w:r>
      <w:r w:rsidR="00F77041">
        <w:t>In Victoria, the provisions do not affect the validity of such laws.</w:t>
      </w:r>
      <w:r w:rsidR="00F77041">
        <w:rPr>
          <w:rStyle w:val="FootnoteReference"/>
        </w:rPr>
        <w:footnoteReference w:id="10"/>
      </w:r>
    </w:p>
    <w:p w:rsidR="004B2975" w:rsidRDefault="002E0839" w:rsidP="004B2975">
      <w:pPr>
        <w:pStyle w:val="NormalIndent"/>
        <w:jc w:val="both"/>
      </w:pPr>
      <w:r>
        <w:t>The position is somewhat different i</w:t>
      </w:r>
      <w:r w:rsidRPr="0087121B">
        <w:t>n the UK</w:t>
      </w:r>
      <w:r>
        <w:t>. In that jurisdiction,</w:t>
      </w:r>
      <w:r w:rsidRPr="0087121B">
        <w:t xml:space="preserve"> courts have the power to declare legislation incompatible with the Human Rights Convention.</w:t>
      </w:r>
      <w:r w:rsidRPr="0087121B">
        <w:rPr>
          <w:rStyle w:val="FootnoteReference"/>
        </w:rPr>
        <w:footnoteReference w:id="11"/>
      </w:r>
      <w:r w:rsidRPr="0087121B">
        <w:t xml:space="preserve"> </w:t>
      </w:r>
      <w:r>
        <w:t>However, i</w:t>
      </w:r>
      <w:r w:rsidRPr="0087121B">
        <w:t>n response to a declaration of incompatibility, the Government may in certain circumstances make a remedial order to amend the legislation where there are compelling reasons to do so.</w:t>
      </w:r>
      <w:r w:rsidRPr="0087121B">
        <w:rPr>
          <w:rStyle w:val="FootnoteReference"/>
        </w:rPr>
        <w:footnoteReference w:id="12"/>
      </w:r>
    </w:p>
    <w:p w:rsidR="00304091" w:rsidRDefault="00D12174" w:rsidP="00D12174">
      <w:pPr>
        <w:pStyle w:val="AllensHeading3"/>
        <w:numPr>
          <w:ilvl w:val="0"/>
          <w:numId w:val="0"/>
        </w:numPr>
        <w:ind w:left="709"/>
        <w:rPr>
          <w:b/>
          <w:i/>
          <w:highlight w:val="yellow"/>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 xml:space="preserve">would like Parliament to interpret laws </w:t>
      </w:r>
      <w:r w:rsidR="00304091">
        <w:rPr>
          <w:b/>
          <w:i/>
          <w:highlight w:val="yellow"/>
        </w:rPr>
        <w:t>in a manner consistent with the Charter by adopting the position of:</w:t>
      </w:r>
    </w:p>
    <w:p w:rsidR="00304091" w:rsidRPr="00C77CD0" w:rsidRDefault="00C77CD0" w:rsidP="00304091">
      <w:pPr>
        <w:pStyle w:val="AllensHeading3"/>
        <w:rPr>
          <w:b/>
          <w:i/>
          <w:highlight w:val="yellow"/>
        </w:rPr>
      </w:pPr>
      <w:r w:rsidRPr="00C77CD0">
        <w:rPr>
          <w:b/>
          <w:i/>
          <w:highlight w:val="yellow"/>
        </w:rPr>
        <w:t>Victoria;</w:t>
      </w:r>
    </w:p>
    <w:p w:rsidR="00C77CD0" w:rsidRPr="00C77CD0" w:rsidRDefault="00C77CD0" w:rsidP="00304091">
      <w:pPr>
        <w:pStyle w:val="AllensHeading3"/>
        <w:rPr>
          <w:b/>
          <w:i/>
          <w:highlight w:val="yellow"/>
        </w:rPr>
      </w:pPr>
      <w:r w:rsidRPr="00C77CD0">
        <w:rPr>
          <w:b/>
          <w:i/>
          <w:highlight w:val="yellow"/>
        </w:rPr>
        <w:t>ACT (like Victoria, with the exception of reference to judgments of domestic courts and tribunals);</w:t>
      </w:r>
      <w:r w:rsidR="00364401">
        <w:rPr>
          <w:b/>
          <w:i/>
          <w:highlight w:val="yellow"/>
        </w:rPr>
        <w:t xml:space="preserve"> </w:t>
      </w:r>
      <w:r w:rsidR="001224A0" w:rsidRPr="005F6210">
        <w:rPr>
          <w:b/>
          <w:i/>
          <w:highlight w:val="yellow"/>
        </w:rPr>
        <w:t>or</w:t>
      </w:r>
    </w:p>
    <w:p w:rsidR="00D12174" w:rsidRPr="00C77CD0" w:rsidRDefault="00C77CD0" w:rsidP="00304091">
      <w:pPr>
        <w:pStyle w:val="AllensHeading3"/>
        <w:rPr>
          <w:b/>
          <w:i/>
          <w:highlight w:val="yellow"/>
        </w:rPr>
      </w:pPr>
      <w:r w:rsidRPr="00C77CD0">
        <w:rPr>
          <w:b/>
          <w:i/>
          <w:highlight w:val="yellow"/>
        </w:rPr>
        <w:t xml:space="preserve"> The </w:t>
      </w:r>
      <w:r w:rsidR="00304091" w:rsidRPr="00C77CD0">
        <w:rPr>
          <w:b/>
          <w:i/>
          <w:highlight w:val="yellow"/>
        </w:rPr>
        <w:t>UK</w:t>
      </w:r>
      <w:r w:rsidR="00D12174" w:rsidRPr="00C77CD0">
        <w:rPr>
          <w:b/>
          <w:i/>
          <w:highlight w:val="yellow"/>
        </w:rPr>
        <w:t>]</w:t>
      </w:r>
    </w:p>
    <w:p w:rsidR="004B2975" w:rsidRDefault="007B6AB2" w:rsidP="005131C0">
      <w:pPr>
        <w:pStyle w:val="AllensHeading2"/>
      </w:pPr>
      <w:r>
        <w:t>Referral to the Supreme Court</w:t>
      </w:r>
    </w:p>
    <w:p w:rsidR="00865982" w:rsidRDefault="00865982" w:rsidP="00F77041">
      <w:pPr>
        <w:pStyle w:val="NormalIndent"/>
        <w:jc w:val="both"/>
      </w:pPr>
      <w:r>
        <w:t>L</w:t>
      </w:r>
      <w:r w:rsidR="00F77041">
        <w:t xml:space="preserve">ower courts </w:t>
      </w:r>
      <w:r>
        <w:t xml:space="preserve">may be empowered </w:t>
      </w:r>
      <w:r w:rsidR="00F77041">
        <w:t xml:space="preserve">to refer to the Supreme Court a question of law </w:t>
      </w:r>
      <w:r w:rsidR="00F21E25">
        <w:t>relating</w:t>
      </w:r>
      <w:r w:rsidR="00F77041">
        <w:t xml:space="preserve"> to the application of the</w:t>
      </w:r>
      <w:r>
        <w:t xml:space="preserve"> Queensland</w:t>
      </w:r>
      <w:r w:rsidR="00F77041">
        <w:t xml:space="preserve"> Charter</w:t>
      </w:r>
      <w:r w:rsidR="00F21E25">
        <w:t>,</w:t>
      </w:r>
      <w:r w:rsidR="00F77041">
        <w:t xml:space="preserve"> </w:t>
      </w:r>
      <w:r>
        <w:t xml:space="preserve">or a question about the interpretation of a statutory provision in accordance with the Charter. </w:t>
      </w:r>
      <w:r w:rsidR="00A470B9">
        <w:t xml:space="preserve">The effect of this mechanism would be that the court or tribunal making the referral cannot then make a determination or proceed </w:t>
      </w:r>
      <w:r w:rsidR="00F21E25">
        <w:t xml:space="preserve">with the matter </w:t>
      </w:r>
      <w:r w:rsidR="00A470B9">
        <w:t>until</w:t>
      </w:r>
      <w:r w:rsidR="00C67FD8">
        <w:t>,</w:t>
      </w:r>
      <w:r w:rsidR="00A470B9">
        <w:t xml:space="preserve"> and in accordance with</w:t>
      </w:r>
      <w:r w:rsidR="00C67FD8">
        <w:t>,</w:t>
      </w:r>
      <w:r w:rsidR="00A470B9">
        <w:t xml:space="preserve"> the Supreme Court</w:t>
      </w:r>
      <w:r w:rsidR="00F21E25">
        <w:t>'s</w:t>
      </w:r>
      <w:r w:rsidR="00A470B9">
        <w:t xml:space="preserve"> decision.</w:t>
      </w:r>
    </w:p>
    <w:p w:rsidR="00865982" w:rsidRDefault="00F21E25" w:rsidP="00F77041">
      <w:pPr>
        <w:pStyle w:val="NormalIndent"/>
        <w:jc w:val="both"/>
      </w:pPr>
      <w:r>
        <w:t>This</w:t>
      </w:r>
      <w:r w:rsidR="00865982">
        <w:t xml:space="preserve"> power exists in Victoria</w:t>
      </w:r>
      <w:r w:rsidR="00C67FD8">
        <w:t>, but</w:t>
      </w:r>
      <w:r w:rsidR="00865982">
        <w:t xml:space="preserve"> only in circumstances where there is an existing proceeding before a court or tribunal, a party has made an application for referral and the court or tribunal considers that the question is appropriate for determination by the Supreme Court.</w:t>
      </w:r>
      <w:r w:rsidR="00865982">
        <w:rPr>
          <w:rStyle w:val="FootnoteReference"/>
        </w:rPr>
        <w:footnoteReference w:id="13"/>
      </w:r>
    </w:p>
    <w:p w:rsidR="00C77CD0" w:rsidRPr="00C93484" w:rsidRDefault="00C77CD0" w:rsidP="00C77CD0">
      <w:pPr>
        <w:pStyle w:val="AllensHeading3"/>
        <w:numPr>
          <w:ilvl w:val="0"/>
          <w:numId w:val="0"/>
        </w:numPr>
        <w:ind w:left="709"/>
        <w:rPr>
          <w:b/>
        </w:rPr>
      </w:pPr>
      <w:r w:rsidRPr="00C77CD0">
        <w:rPr>
          <w:b/>
          <w:highlight w:val="yellow"/>
        </w:rPr>
        <w:t xml:space="preserve">[Note to QAILS: </w:t>
      </w:r>
      <w:r w:rsidRPr="00C77CD0">
        <w:rPr>
          <w:b/>
          <w:i/>
          <w:highlight w:val="yellow"/>
        </w:rPr>
        <w:t>please provide your instructions as to whether you would like lower Courts to be empowered to refer questions of law or interpretation about the Charter to the Supreme Court</w:t>
      </w:r>
      <w:r w:rsidRPr="00C77CD0">
        <w:rPr>
          <w:b/>
          <w:highlight w:val="yellow"/>
        </w:rPr>
        <w:t>]</w:t>
      </w:r>
      <w:r w:rsidRPr="00C77CD0">
        <w:rPr>
          <w:b/>
        </w:rPr>
        <w:t xml:space="preserve"> </w:t>
      </w:r>
    </w:p>
    <w:p w:rsidR="00865982" w:rsidRDefault="00A470B9" w:rsidP="00A470B9">
      <w:pPr>
        <w:pStyle w:val="AllensHeading2"/>
      </w:pPr>
      <w:r>
        <w:t xml:space="preserve">Rights to intervene </w:t>
      </w:r>
    </w:p>
    <w:p w:rsidR="00F77041" w:rsidRDefault="00CF5090" w:rsidP="00F77041">
      <w:pPr>
        <w:pStyle w:val="NormalIndent"/>
        <w:jc w:val="both"/>
      </w:pPr>
      <w:r>
        <w:t xml:space="preserve">The Queensland Attorney-General, and any human rights commissioner (discussed below) with leave, may be </w:t>
      </w:r>
      <w:r w:rsidR="00F21E25">
        <w:t>empowered</w:t>
      </w:r>
      <w:r>
        <w:t xml:space="preserve"> to intervene in a court proceeding that involves the application of the Queensland Charter. This is the position </w:t>
      </w:r>
      <w:r w:rsidRPr="00241BF3">
        <w:t>in the ACT</w:t>
      </w:r>
      <w:r w:rsidR="00F21E25">
        <w:t xml:space="preserve"> </w:t>
      </w:r>
      <w:proofErr w:type="spellStart"/>
      <w:r w:rsidR="00F21E25">
        <w:t>Act</w:t>
      </w:r>
      <w:proofErr w:type="spellEnd"/>
      <w:r w:rsidR="00F21E25">
        <w:t xml:space="preserve"> and Victorian Charter</w:t>
      </w:r>
      <w:r w:rsidRPr="00241BF3">
        <w:t>.</w:t>
      </w:r>
      <w:r w:rsidRPr="00241BF3">
        <w:rPr>
          <w:rStyle w:val="FootnoteReference"/>
        </w:rPr>
        <w:footnoteReference w:id="14"/>
      </w:r>
      <w:r>
        <w:t xml:space="preserve"> </w:t>
      </w:r>
    </w:p>
    <w:p w:rsidR="005F6210" w:rsidRPr="00C93484" w:rsidRDefault="005F6210" w:rsidP="005F6210">
      <w:pPr>
        <w:pStyle w:val="AllensHeading3"/>
        <w:numPr>
          <w:ilvl w:val="0"/>
          <w:numId w:val="0"/>
        </w:numPr>
        <w:ind w:left="709"/>
        <w:rPr>
          <w:b/>
        </w:rPr>
      </w:pPr>
      <w:r w:rsidRPr="00121248">
        <w:rPr>
          <w:b/>
          <w:highlight w:val="yellow"/>
        </w:rPr>
        <w:t xml:space="preserve">[Note to QAILS: </w:t>
      </w:r>
      <w:r w:rsidRPr="00121248">
        <w:rPr>
          <w:b/>
          <w:i/>
          <w:highlight w:val="yellow"/>
        </w:rPr>
        <w:t xml:space="preserve">please provide your instructions as to whether you would like the  Charter to adopt the ACT and Victorian position </w:t>
      </w:r>
      <w:r w:rsidR="00E02AD8" w:rsidRPr="00121248">
        <w:rPr>
          <w:b/>
          <w:i/>
          <w:highlight w:val="yellow"/>
        </w:rPr>
        <w:t>and have a right to intervene in court proceedings</w:t>
      </w:r>
      <w:r w:rsidRPr="00121248">
        <w:rPr>
          <w:b/>
          <w:i/>
          <w:highlight w:val="yellow"/>
        </w:rPr>
        <w:t>]</w:t>
      </w:r>
    </w:p>
    <w:p w:rsidR="00C93693" w:rsidRDefault="00C93693" w:rsidP="00F77041">
      <w:pPr>
        <w:pStyle w:val="NormalIndent"/>
        <w:jc w:val="both"/>
      </w:pPr>
      <w:r>
        <w:t>Additionally,</w:t>
      </w:r>
      <w:r w:rsidR="009062CD">
        <w:t xml:space="preserve"> in both the ACT and Victoria,</w:t>
      </w:r>
      <w:r>
        <w:t xml:space="preserve"> a party to a relevant proceeding in the Supreme Court (or referred to the Supreme Court) must give notice to the Attorney-General and the Commission.</w:t>
      </w:r>
      <w:r>
        <w:rPr>
          <w:rStyle w:val="FootnoteReference"/>
        </w:rPr>
        <w:footnoteReference w:id="15"/>
      </w:r>
      <w:r>
        <w:t xml:space="preserve">  </w:t>
      </w:r>
    </w:p>
    <w:p w:rsidR="00ED6310" w:rsidRPr="00C93484" w:rsidRDefault="00ED6310" w:rsidP="00ED6310">
      <w:pPr>
        <w:pStyle w:val="AllensHeading3"/>
        <w:numPr>
          <w:ilvl w:val="0"/>
          <w:numId w:val="0"/>
        </w:numPr>
        <w:ind w:left="709"/>
        <w:rPr>
          <w:b/>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the additional requirement of the ACT and Victoria to apply to the Queensland Charter</w:t>
      </w:r>
      <w:r w:rsidRPr="00C93484">
        <w:rPr>
          <w:b/>
          <w:i/>
          <w:highlight w:val="yellow"/>
        </w:rPr>
        <w:t>]</w:t>
      </w:r>
    </w:p>
    <w:p w:rsidR="00C63459" w:rsidRDefault="003B023B" w:rsidP="005131C0">
      <w:pPr>
        <w:pStyle w:val="AllensHeading2"/>
      </w:pPr>
      <w:r>
        <w:lastRenderedPageBreak/>
        <w:t xml:space="preserve">Declarations of </w:t>
      </w:r>
      <w:r w:rsidRPr="003B023B">
        <w:t>incompatibility</w:t>
      </w:r>
      <w:r>
        <w:t xml:space="preserve"> </w:t>
      </w:r>
    </w:p>
    <w:p w:rsidR="00F80C50" w:rsidRDefault="00F80C50" w:rsidP="00F80C50">
      <w:pPr>
        <w:pStyle w:val="AllensHeading3"/>
        <w:numPr>
          <w:ilvl w:val="0"/>
          <w:numId w:val="0"/>
        </w:numPr>
        <w:ind w:left="709"/>
      </w:pPr>
      <w:r w:rsidRPr="00F2379A">
        <w:t xml:space="preserve">The Supreme Court </w:t>
      </w:r>
      <w:r w:rsidR="00F21E25">
        <w:t>may</w:t>
      </w:r>
      <w:r w:rsidRPr="00F2379A">
        <w:t xml:space="preserve"> be </w:t>
      </w:r>
      <w:r>
        <w:t>empowered</w:t>
      </w:r>
      <w:r w:rsidRPr="00F2379A">
        <w:t xml:space="preserve"> to make a declaration that an Act o</w:t>
      </w:r>
      <w:r>
        <w:t xml:space="preserve">f Parliament or a subordinate </w:t>
      </w:r>
      <w:r w:rsidR="00F21E25">
        <w:t>instrument</w:t>
      </w:r>
      <w:r w:rsidRPr="00F2379A">
        <w:t xml:space="preserve"> </w:t>
      </w:r>
      <w:r>
        <w:t xml:space="preserve">is not consistent with a relevant human right. </w:t>
      </w:r>
    </w:p>
    <w:p w:rsidR="00ED6310" w:rsidRPr="00C93484" w:rsidRDefault="00ED6310" w:rsidP="00ED6310">
      <w:pPr>
        <w:pStyle w:val="AllensHeading3"/>
        <w:numPr>
          <w:ilvl w:val="0"/>
          <w:numId w:val="0"/>
        </w:numPr>
        <w:ind w:left="709"/>
        <w:rPr>
          <w:b/>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the Supreme Court to be empowered to declare Acts inconsistent with human rights</w:t>
      </w:r>
      <w:r w:rsidRPr="00C93484">
        <w:rPr>
          <w:b/>
          <w:i/>
          <w:highlight w:val="yellow"/>
        </w:rPr>
        <w:t>]</w:t>
      </w:r>
    </w:p>
    <w:p w:rsidR="00F80C50" w:rsidRDefault="00F80C50" w:rsidP="00F80C50">
      <w:pPr>
        <w:pStyle w:val="AllensHeading3"/>
        <w:numPr>
          <w:ilvl w:val="0"/>
          <w:numId w:val="0"/>
        </w:numPr>
        <w:ind w:left="709"/>
      </w:pPr>
      <w:r>
        <w:t xml:space="preserve">This is the position in the ACT </w:t>
      </w:r>
      <w:proofErr w:type="spellStart"/>
      <w:r>
        <w:t>Act</w:t>
      </w:r>
      <w:proofErr w:type="spellEnd"/>
      <w:r>
        <w:t>, however the declaration of incompatibility does not affect the validity, operation or enforcement of law, or the rights or obligations of people.</w:t>
      </w:r>
      <w:r>
        <w:rPr>
          <w:rStyle w:val="FootnoteReference"/>
        </w:rPr>
        <w:footnoteReference w:id="16"/>
      </w:r>
      <w:r w:rsidR="00F21E25">
        <w:t xml:space="preserve"> The Attorney</w:t>
      </w:r>
      <w:r w:rsidR="00F21E25">
        <w:noBreakHyphen/>
      </w:r>
      <w:r w:rsidR="009062CD">
        <w:t xml:space="preserve">General and Commission </w:t>
      </w:r>
      <w:r w:rsidR="00F21E25">
        <w:t>must</w:t>
      </w:r>
      <w:r w:rsidR="009062CD">
        <w:t xml:space="preserve"> receive notice of any proceeding in which the Supreme Court is considering making a declaration, and will be given time to decide whether to intervene.</w:t>
      </w:r>
      <w:r w:rsidR="009062CD">
        <w:rPr>
          <w:rStyle w:val="FootnoteReference"/>
        </w:rPr>
        <w:footnoteReference w:id="17"/>
      </w:r>
      <w:r w:rsidR="00F85970">
        <w:t xml:space="preserve"> Once the ACT Attorney-General receives a copy of the declaration, he or she must present a copy to the Parliament within 6 sitting days. Then, within 6 months, the Attorney-General must prepare and table a written response</w:t>
      </w:r>
      <w:r w:rsidR="00F21E25">
        <w:t xml:space="preserve"> to the declaration</w:t>
      </w:r>
      <w:r w:rsidR="00F85970">
        <w:t>.</w:t>
      </w:r>
      <w:r w:rsidR="00F85970">
        <w:rPr>
          <w:rStyle w:val="FootnoteReference"/>
        </w:rPr>
        <w:footnoteReference w:id="18"/>
      </w:r>
    </w:p>
    <w:p w:rsidR="0083751D" w:rsidRDefault="0083751D" w:rsidP="00F80C50">
      <w:pPr>
        <w:pStyle w:val="AllensHeading3"/>
        <w:numPr>
          <w:ilvl w:val="0"/>
          <w:numId w:val="0"/>
        </w:numPr>
        <w:ind w:left="709"/>
      </w:pPr>
      <w:r>
        <w:t>In Victoria, the declaration is called a 'declaration of inconsistent interpretation'. The provisions of the Victorian Charter are largely similar to those described above</w:t>
      </w:r>
      <w:r w:rsidR="00F44E29">
        <w:t xml:space="preserve"> (although the process is slightly different</w:t>
      </w:r>
      <w:r w:rsidR="00F21E25">
        <w:t xml:space="preserve"> to the ACT Act</w:t>
      </w:r>
      <w:r w:rsidR="00F44E29">
        <w:t>), however the provisions</w:t>
      </w:r>
      <w:r>
        <w:t xml:space="preserve"> are expressly subject to any </w:t>
      </w:r>
      <w:r w:rsidRPr="00F44E29">
        <w:t xml:space="preserve">relevant </w:t>
      </w:r>
      <w:r w:rsidR="00F21E25">
        <w:t>'</w:t>
      </w:r>
      <w:r w:rsidRPr="00F44E29">
        <w:t>override declaration</w:t>
      </w:r>
      <w:r w:rsidR="00F21E25">
        <w:t>'</w:t>
      </w:r>
      <w:r w:rsidRPr="00F44E29">
        <w:t>.</w:t>
      </w:r>
      <w:r w:rsidRPr="00F44E29">
        <w:rPr>
          <w:rStyle w:val="FootnoteReference"/>
        </w:rPr>
        <w:footnoteReference w:id="19"/>
      </w:r>
      <w:r>
        <w:t xml:space="preserve"> </w:t>
      </w:r>
    </w:p>
    <w:p w:rsidR="00927E35" w:rsidRDefault="00F44E29" w:rsidP="00F80C50">
      <w:pPr>
        <w:pStyle w:val="AllensHeading3"/>
        <w:numPr>
          <w:ilvl w:val="0"/>
          <w:numId w:val="0"/>
        </w:numPr>
        <w:ind w:left="709"/>
      </w:pPr>
      <w:r>
        <w:t>Under section 31 of the Victorian Charter, the Parliament may</w:t>
      </w:r>
      <w:r w:rsidR="00B0726F">
        <w:t>,</w:t>
      </w:r>
      <w:r>
        <w:t xml:space="preserve"> </w:t>
      </w:r>
      <w:r w:rsidR="00C82D4D">
        <w:t>in exceptional circumstances</w:t>
      </w:r>
      <w:r w:rsidR="00B0726F">
        <w:t>,</w:t>
      </w:r>
      <w:r w:rsidR="00C82D4D">
        <w:t xml:space="preserve"> </w:t>
      </w:r>
      <w:r>
        <w:t>declare in an Act that the Act (or a provision of the Act) has effect despite incompatibility with human rights or the Charter.</w:t>
      </w:r>
      <w:r w:rsidR="00C82D4D">
        <w:t xml:space="preserve"> </w:t>
      </w:r>
      <w:r w:rsidR="00B0726F">
        <w:t>Such an</w:t>
      </w:r>
      <w:r w:rsidR="00C82D4D">
        <w:t xml:space="preserve"> </w:t>
      </w:r>
      <w:r w:rsidR="008070AD">
        <w:t xml:space="preserve">'override </w:t>
      </w:r>
      <w:r w:rsidR="00C82D4D">
        <w:t>declaration</w:t>
      </w:r>
      <w:r w:rsidR="008070AD">
        <w:t>'</w:t>
      </w:r>
      <w:r w:rsidR="00C82D4D">
        <w:t xml:space="preserve"> extend</w:t>
      </w:r>
      <w:r w:rsidR="008070AD">
        <w:t>s</w:t>
      </w:r>
      <w:r w:rsidR="00C82D4D">
        <w:t xml:space="preserve"> to any subordinate instrument made under the Act. The effect of a declaration is that the Charter has no application to the relevant statutory provision.</w:t>
      </w:r>
      <w:r>
        <w:rPr>
          <w:rStyle w:val="FootnoteReference"/>
        </w:rPr>
        <w:footnoteReference w:id="20"/>
      </w:r>
      <w:r>
        <w:t xml:space="preserve"> </w:t>
      </w:r>
    </w:p>
    <w:p w:rsidR="005F6210" w:rsidRPr="00121248" w:rsidRDefault="00786D97" w:rsidP="00786D97">
      <w:pPr>
        <w:pStyle w:val="AllensHeading3"/>
        <w:numPr>
          <w:ilvl w:val="0"/>
          <w:numId w:val="0"/>
        </w:numPr>
        <w:ind w:left="709"/>
        <w:rPr>
          <w:b/>
          <w:i/>
          <w:highlight w:val="yellow"/>
        </w:rPr>
      </w:pPr>
      <w:r w:rsidRPr="00121248">
        <w:rPr>
          <w:b/>
          <w:highlight w:val="yellow"/>
        </w:rPr>
        <w:t xml:space="preserve">[Note to QAILS: </w:t>
      </w:r>
      <w:r w:rsidRPr="00121248">
        <w:rPr>
          <w:b/>
          <w:i/>
          <w:highlight w:val="yellow"/>
        </w:rPr>
        <w:t>please provide your instructions as to whether you would like the Charter to adopt</w:t>
      </w:r>
      <w:r w:rsidR="005F6210" w:rsidRPr="00121248">
        <w:rPr>
          <w:b/>
          <w:i/>
          <w:highlight w:val="yellow"/>
        </w:rPr>
        <w:t>:</w:t>
      </w:r>
    </w:p>
    <w:p w:rsidR="005F6210" w:rsidRPr="00121248" w:rsidRDefault="00786D97" w:rsidP="005F6210">
      <w:pPr>
        <w:pStyle w:val="AllensHeading3"/>
        <w:rPr>
          <w:b/>
          <w:i/>
          <w:highlight w:val="yellow"/>
        </w:rPr>
      </w:pPr>
      <w:r w:rsidRPr="00121248">
        <w:rPr>
          <w:b/>
          <w:i/>
          <w:highlight w:val="yellow"/>
        </w:rPr>
        <w:t xml:space="preserve"> the ACT </w:t>
      </w:r>
      <w:r w:rsidR="005F6210" w:rsidRPr="00121248">
        <w:rPr>
          <w:b/>
          <w:i/>
          <w:highlight w:val="yellow"/>
        </w:rPr>
        <w:t xml:space="preserve">approach (where a declaration of invalidity does not affect the validity, operation or enforcement of law, and the Attorney General can decide to intervene in Court proceedings for a declaration of invalidity); </w:t>
      </w:r>
      <w:r w:rsidRPr="00121248">
        <w:rPr>
          <w:b/>
          <w:i/>
          <w:highlight w:val="yellow"/>
        </w:rPr>
        <w:t xml:space="preserve">or </w:t>
      </w:r>
    </w:p>
    <w:p w:rsidR="00786D97" w:rsidRPr="00121248" w:rsidRDefault="005F6210" w:rsidP="005F6210">
      <w:pPr>
        <w:pStyle w:val="AllensHeading3"/>
        <w:rPr>
          <w:b/>
          <w:i/>
          <w:highlight w:val="yellow"/>
        </w:rPr>
      </w:pPr>
      <w:r w:rsidRPr="00121248">
        <w:rPr>
          <w:b/>
          <w:i/>
          <w:highlight w:val="yellow"/>
        </w:rPr>
        <w:t xml:space="preserve">the </w:t>
      </w:r>
      <w:r w:rsidR="00786D97" w:rsidRPr="00121248">
        <w:rPr>
          <w:b/>
          <w:i/>
          <w:highlight w:val="yellow"/>
        </w:rPr>
        <w:t>Victorian approach</w:t>
      </w:r>
      <w:r w:rsidR="00364401" w:rsidRPr="00121248">
        <w:rPr>
          <w:b/>
          <w:i/>
          <w:highlight w:val="yellow"/>
        </w:rPr>
        <w:t xml:space="preserve"> </w:t>
      </w:r>
      <w:r w:rsidRPr="00121248">
        <w:rPr>
          <w:b/>
          <w:i/>
          <w:highlight w:val="yellow"/>
        </w:rPr>
        <w:t>(where Parliament may declare in an Act that the Act has effect despite incompatibility with the Charter, and the Charter has no application to the relevant statutory provision)</w:t>
      </w:r>
      <w:r w:rsidR="00786D97" w:rsidRPr="00121248">
        <w:rPr>
          <w:b/>
          <w:i/>
          <w:highlight w:val="yellow"/>
        </w:rPr>
        <w:t>]</w:t>
      </w:r>
    </w:p>
    <w:p w:rsidR="002B76D2" w:rsidRDefault="00927E35" w:rsidP="002B76D2">
      <w:pPr>
        <w:pStyle w:val="AllensHeading3"/>
        <w:numPr>
          <w:ilvl w:val="0"/>
          <w:numId w:val="0"/>
        </w:numPr>
        <w:ind w:left="709"/>
      </w:pPr>
      <w:r>
        <w:t xml:space="preserve">It has </w:t>
      </w:r>
      <w:r w:rsidR="002E0839">
        <w:t xml:space="preserve">recently </w:t>
      </w:r>
      <w:r>
        <w:t>been recommended that t</w:t>
      </w:r>
      <w:r w:rsidRPr="00927E35">
        <w:t>he provision for override declarations be repealed. Th</w:t>
      </w:r>
      <w:r w:rsidR="002E0839">
        <w:t>is is because the</w:t>
      </w:r>
      <w:r w:rsidRPr="00927E35">
        <w:t xml:space="preserve"> Parliament has continuing authority to enact any statute (including statutes that are incompatible with human rights), and the statement of compatibility is the mechanism for noting </w:t>
      </w:r>
      <w:r w:rsidR="002E0839">
        <w:t>any</w:t>
      </w:r>
      <w:r w:rsidRPr="00927E35">
        <w:t xml:space="preserve"> incompatibility. </w:t>
      </w:r>
      <w:r w:rsidR="002E0839">
        <w:t>It was nevertheless recommended that, if</w:t>
      </w:r>
      <w:r w:rsidRPr="00927E35">
        <w:t xml:space="preserve"> legislation is passed that is incompatible with human rights, the responsible Minister should report to Parliament on its operation every five years</w:t>
      </w:r>
      <w:r>
        <w:t>.</w:t>
      </w:r>
      <w:r>
        <w:rPr>
          <w:rStyle w:val="FootnoteReference"/>
        </w:rPr>
        <w:footnoteReference w:id="21"/>
      </w:r>
    </w:p>
    <w:p w:rsidR="00ED6310" w:rsidRPr="00C93484" w:rsidRDefault="00ED6310" w:rsidP="00ED6310">
      <w:pPr>
        <w:pStyle w:val="AllensHeading3"/>
        <w:numPr>
          <w:ilvl w:val="0"/>
          <w:numId w:val="0"/>
        </w:numPr>
        <w:ind w:left="709"/>
        <w:rPr>
          <w:b/>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legislation that is passed and incompatible with human rights to be reported on by the responsible Minister every five years</w:t>
      </w:r>
      <w:r w:rsidRPr="00C93484">
        <w:rPr>
          <w:b/>
          <w:i/>
          <w:highlight w:val="yellow"/>
        </w:rPr>
        <w:t>]</w:t>
      </w:r>
    </w:p>
    <w:p w:rsidR="005131C0" w:rsidRDefault="005131C0" w:rsidP="005131C0">
      <w:pPr>
        <w:pStyle w:val="AllensHeading1"/>
      </w:pPr>
      <w:r>
        <w:lastRenderedPageBreak/>
        <w:t xml:space="preserve">Obligations on public authorities </w:t>
      </w:r>
    </w:p>
    <w:p w:rsidR="001812AE" w:rsidRDefault="002E0839" w:rsidP="00DE122D">
      <w:pPr>
        <w:pStyle w:val="AllensHeading2"/>
      </w:pPr>
      <w:r>
        <w:t>What</w:t>
      </w:r>
      <w:r w:rsidR="001812AE">
        <w:t xml:space="preserve"> is a public authority?</w:t>
      </w:r>
    </w:p>
    <w:p w:rsidR="001812AE" w:rsidRPr="001812AE" w:rsidRDefault="001812AE" w:rsidP="001812AE">
      <w:pPr>
        <w:pStyle w:val="NormalIndent"/>
      </w:pPr>
      <w:r>
        <w:t>A public authority includes an authority of the State, a Minister, police officer, public servant and, critically, another entity performing public functions (including a private entity performing public functions). It is does not include Parliament or the Courts.</w:t>
      </w:r>
      <w:r>
        <w:rPr>
          <w:rStyle w:val="FootnoteReference"/>
        </w:rPr>
        <w:footnoteReference w:id="22"/>
      </w:r>
      <w:r>
        <w:t xml:space="preserve"> This issue is discussed in more detail in our options paper relating to the proposed scope of application of </w:t>
      </w:r>
      <w:r w:rsidR="005D60A9">
        <w:t>a</w:t>
      </w:r>
      <w:r>
        <w:t xml:space="preserve"> Queensland Charter. </w:t>
      </w:r>
    </w:p>
    <w:p w:rsidR="00DE122D" w:rsidRDefault="00DE122D" w:rsidP="00DE122D">
      <w:pPr>
        <w:pStyle w:val="AllensHeading2"/>
      </w:pPr>
      <w:r>
        <w:t xml:space="preserve">Conduct of public authorities </w:t>
      </w:r>
    </w:p>
    <w:p w:rsidR="00AF1EB1" w:rsidRDefault="00DE122D" w:rsidP="000426FD">
      <w:pPr>
        <w:pStyle w:val="NormalIndent"/>
        <w:jc w:val="both"/>
      </w:pPr>
      <w:r>
        <w:t xml:space="preserve">Public authorities may be required to perform their duties in a manner consistent with human rights, and to give proper consideration to human rights when making a decision of a public nature. This is the position in the </w:t>
      </w:r>
      <w:r w:rsidR="003C10C7">
        <w:t xml:space="preserve">ACT </w:t>
      </w:r>
      <w:proofErr w:type="spellStart"/>
      <w:r w:rsidR="003C10C7">
        <w:t>Act</w:t>
      </w:r>
      <w:proofErr w:type="spellEnd"/>
      <w:r w:rsidR="003C10C7">
        <w:t xml:space="preserve"> (except in relation to econom</w:t>
      </w:r>
      <w:r w:rsidR="00AF1EB1">
        <w:t>ic, social and cultural rights).</w:t>
      </w:r>
      <w:r w:rsidR="00AF1EB1">
        <w:rPr>
          <w:rStyle w:val="FootnoteReference"/>
        </w:rPr>
        <w:footnoteReference w:id="23"/>
      </w:r>
    </w:p>
    <w:p w:rsidR="00AF1EB1" w:rsidRDefault="00AF1EB1" w:rsidP="000426FD">
      <w:pPr>
        <w:pStyle w:val="NormalIndent"/>
        <w:jc w:val="both"/>
      </w:pPr>
      <w:r>
        <w:t xml:space="preserve">In </w:t>
      </w:r>
      <w:r w:rsidR="002E0839">
        <w:t>Victoria</w:t>
      </w:r>
      <w:r>
        <w:t>,</w:t>
      </w:r>
      <w:r w:rsidR="00DE122D">
        <w:t xml:space="preserve"> </w:t>
      </w:r>
      <w:r w:rsidR="00533940">
        <w:t xml:space="preserve">special protections exist for </w:t>
      </w:r>
      <w:r w:rsidR="002E0839">
        <w:t>the actions of religious bodies</w:t>
      </w:r>
      <w:r w:rsidR="00DE122D">
        <w:t>.</w:t>
      </w:r>
      <w:r w:rsidR="00DE122D">
        <w:rPr>
          <w:rStyle w:val="FootnoteReference"/>
        </w:rPr>
        <w:footnoteReference w:id="24"/>
      </w:r>
      <w:r w:rsidR="00DE122D">
        <w:t xml:space="preserve"> </w:t>
      </w:r>
      <w:r w:rsidR="000426FD" w:rsidRPr="000426FD">
        <w:t xml:space="preserve">A recent independent review of the Victorian Charter recommended </w:t>
      </w:r>
      <w:r>
        <w:t>that t</w:t>
      </w:r>
      <w:r w:rsidRPr="00AF1EB1">
        <w:t>he Charter be amended to clarify that decisions of public authorities must be substantively compatible with human rights</w:t>
      </w:r>
      <w:r>
        <w:t>. This could be achieved by</w:t>
      </w:r>
      <w:r w:rsidRPr="00AF1EB1">
        <w:t xml:space="preserve"> defining ‘to act’ as including ‘to make a decision’</w:t>
      </w:r>
      <w:r>
        <w:t>,</w:t>
      </w:r>
      <w:r w:rsidRPr="00AF1EB1">
        <w:t xml:space="preserve"> or by specifying in </w:t>
      </w:r>
      <w:r>
        <w:t xml:space="preserve">another </w:t>
      </w:r>
      <w:r w:rsidRPr="00AF1EB1">
        <w:t xml:space="preserve">section </w:t>
      </w:r>
      <w:r>
        <w:t xml:space="preserve">of the Charter (section </w:t>
      </w:r>
      <w:r w:rsidRPr="00AF1EB1">
        <w:t>38(1)</w:t>
      </w:r>
      <w:r>
        <w:t>)</w:t>
      </w:r>
      <w:r w:rsidRPr="00AF1EB1">
        <w:t xml:space="preserve"> that it is unlawful for a public authority to make a decision that is incompatible with a human right</w:t>
      </w:r>
      <w:r>
        <w:t>.</w:t>
      </w:r>
      <w:r>
        <w:rPr>
          <w:rStyle w:val="FootnoteReference"/>
        </w:rPr>
        <w:footnoteReference w:id="25"/>
      </w:r>
    </w:p>
    <w:p w:rsidR="00A911B6" w:rsidRPr="00A911B6" w:rsidRDefault="00A911B6" w:rsidP="00A911B6">
      <w:pPr>
        <w:pStyle w:val="AllensHeading3"/>
        <w:numPr>
          <w:ilvl w:val="0"/>
          <w:numId w:val="0"/>
        </w:numPr>
        <w:ind w:left="709"/>
        <w:rPr>
          <w:b/>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the Charter to adopt the approach of the ACT (to consider human rights) or Victoria (similar to ACT but with exceptions for actions of religious bodies)</w:t>
      </w:r>
      <w:r w:rsidRPr="00C93484">
        <w:rPr>
          <w:b/>
          <w:i/>
          <w:highlight w:val="yellow"/>
        </w:rPr>
        <w:t>]</w:t>
      </w:r>
    </w:p>
    <w:p w:rsidR="000426FD" w:rsidRDefault="002E0839" w:rsidP="000426FD">
      <w:pPr>
        <w:pStyle w:val="NormalIndent"/>
        <w:jc w:val="both"/>
      </w:pPr>
      <w:r>
        <w:t>The review</w:t>
      </w:r>
      <w:r w:rsidR="00AF1EB1">
        <w:t xml:space="preserve"> further recommended that </w:t>
      </w:r>
      <w:r w:rsidR="000426FD">
        <w:t xml:space="preserve">section 4 of the </w:t>
      </w:r>
      <w:r>
        <w:t xml:space="preserve">Victorian </w:t>
      </w:r>
      <w:r w:rsidR="000426FD">
        <w:t xml:space="preserve">Charter be amended to set out a non-exhaustive list of functions of a public nature, including: </w:t>
      </w:r>
    </w:p>
    <w:p w:rsidR="000426FD" w:rsidRDefault="000426FD" w:rsidP="000426FD">
      <w:pPr>
        <w:pStyle w:val="Bullet2"/>
        <w:jc w:val="both"/>
      </w:pPr>
      <w:r>
        <w:t xml:space="preserve">the operation of prisons and other correctional facilities; </w:t>
      </w:r>
    </w:p>
    <w:p w:rsidR="000426FD" w:rsidRDefault="000426FD" w:rsidP="000426FD">
      <w:pPr>
        <w:pStyle w:val="Bullet2"/>
        <w:jc w:val="both"/>
      </w:pPr>
      <w:r>
        <w:t>the provision of public health services;</w:t>
      </w:r>
    </w:p>
    <w:p w:rsidR="000426FD" w:rsidRDefault="000426FD" w:rsidP="000426FD">
      <w:pPr>
        <w:pStyle w:val="Bullet2"/>
        <w:jc w:val="both"/>
      </w:pPr>
      <w:r>
        <w:t xml:space="preserve">the provision of public education, including public tertiary education; </w:t>
      </w:r>
    </w:p>
    <w:p w:rsidR="000426FD" w:rsidRDefault="000426FD" w:rsidP="000426FD">
      <w:pPr>
        <w:pStyle w:val="Bullet2"/>
        <w:jc w:val="both"/>
      </w:pPr>
      <w:r>
        <w:t>the provision of public housing, including by registered housing providers;</w:t>
      </w:r>
    </w:p>
    <w:p w:rsidR="000426FD" w:rsidRDefault="000426FD" w:rsidP="000426FD">
      <w:pPr>
        <w:pStyle w:val="Bullet2"/>
        <w:jc w:val="both"/>
      </w:pPr>
      <w:r>
        <w:t xml:space="preserve">the provision of public disability services; </w:t>
      </w:r>
    </w:p>
    <w:p w:rsidR="000426FD" w:rsidRDefault="000426FD" w:rsidP="000426FD">
      <w:pPr>
        <w:pStyle w:val="Bullet2"/>
        <w:jc w:val="both"/>
      </w:pPr>
      <w:r>
        <w:t xml:space="preserve">the provision of public transport; </w:t>
      </w:r>
    </w:p>
    <w:p w:rsidR="000426FD" w:rsidRDefault="000426FD" w:rsidP="000426FD">
      <w:pPr>
        <w:pStyle w:val="Bullet2"/>
        <w:jc w:val="both"/>
      </w:pPr>
      <w:r>
        <w:t>the provision of emergency services; and</w:t>
      </w:r>
    </w:p>
    <w:p w:rsidR="00DE122D" w:rsidRDefault="000426FD" w:rsidP="000426FD">
      <w:pPr>
        <w:pStyle w:val="Bullet2"/>
        <w:jc w:val="both"/>
      </w:pPr>
      <w:r>
        <w:t>the provision of water supply</w:t>
      </w:r>
      <w:r w:rsidRPr="000426FD">
        <w:t>.</w:t>
      </w:r>
      <w:r>
        <w:rPr>
          <w:rStyle w:val="FootnoteReference"/>
        </w:rPr>
        <w:footnoteReference w:id="26"/>
      </w:r>
      <w:r w:rsidRPr="000426FD">
        <w:t xml:space="preserve"> </w:t>
      </w:r>
    </w:p>
    <w:p w:rsidR="008D7B45" w:rsidRDefault="008D7B45" w:rsidP="008D7B45">
      <w:pPr>
        <w:pStyle w:val="Bullet2"/>
        <w:numPr>
          <w:ilvl w:val="0"/>
          <w:numId w:val="0"/>
        </w:numPr>
        <w:ind w:left="709"/>
        <w:jc w:val="both"/>
      </w:pPr>
      <w:r>
        <w:t>It recommended that t</w:t>
      </w:r>
      <w:r w:rsidRPr="008D7B45">
        <w:t xml:space="preserve">he Victorian Government use the </w:t>
      </w:r>
      <w:r w:rsidRPr="003C1018">
        <w:rPr>
          <w:i/>
        </w:rPr>
        <w:t>Charter of Human Rights and Responsibilities (Public Authorities) Regulations 2013</w:t>
      </w:r>
      <w:r w:rsidRPr="008D7B45">
        <w:t xml:space="preserve"> (Vic) to prescribe entities to be or not be </w:t>
      </w:r>
      <w:r w:rsidRPr="008D7B45">
        <w:lastRenderedPageBreak/>
        <w:t>public authorities</w:t>
      </w:r>
      <w:r>
        <w:t xml:space="preserve">, </w:t>
      </w:r>
      <w:r w:rsidRPr="008D7B45">
        <w:t>including entities that provide services under national schemes</w:t>
      </w:r>
      <w:r>
        <w:t xml:space="preserve">, </w:t>
      </w:r>
      <w:r w:rsidRPr="008D7B45">
        <w:t>where necessary to resolve doubt</w:t>
      </w:r>
      <w:r>
        <w:t>.</w:t>
      </w:r>
      <w:r>
        <w:rPr>
          <w:rStyle w:val="FootnoteReference"/>
        </w:rPr>
        <w:footnoteReference w:id="27"/>
      </w:r>
      <w:bookmarkStart w:id="0" w:name="_GoBack"/>
      <w:bookmarkEnd w:id="0"/>
    </w:p>
    <w:p w:rsidR="00A911B6" w:rsidRPr="00A911B6" w:rsidRDefault="00A911B6" w:rsidP="00A911B6">
      <w:pPr>
        <w:pStyle w:val="AllensHeading3"/>
        <w:numPr>
          <w:ilvl w:val="0"/>
          <w:numId w:val="0"/>
        </w:numPr>
        <w:ind w:left="709"/>
        <w:rPr>
          <w:b/>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 xml:space="preserve">would </w:t>
      </w:r>
      <w:r>
        <w:rPr>
          <w:b/>
          <w:i/>
          <w:highlight w:val="yellow"/>
        </w:rPr>
        <w:t xml:space="preserve">support the enactment of a regulation that </w:t>
      </w:r>
      <w:r w:rsidRPr="00A911B6">
        <w:rPr>
          <w:b/>
          <w:i/>
          <w:highlight w:val="yellow"/>
        </w:rPr>
        <w:t>prescribe</w:t>
      </w:r>
      <w:r w:rsidRPr="00A911B6">
        <w:rPr>
          <w:b/>
          <w:i/>
          <w:highlight w:val="yellow"/>
        </w:rPr>
        <w:t>d</w:t>
      </w:r>
      <w:r w:rsidRPr="00A911B6">
        <w:rPr>
          <w:b/>
          <w:i/>
          <w:highlight w:val="yellow"/>
        </w:rPr>
        <w:t xml:space="preserve"> entities to be or not be public authorities]</w:t>
      </w:r>
    </w:p>
    <w:p w:rsidR="00533940" w:rsidRDefault="00533940" w:rsidP="00533940">
      <w:pPr>
        <w:pStyle w:val="AllensHeading2"/>
      </w:pPr>
      <w:r>
        <w:t>Legal proceedings</w:t>
      </w:r>
    </w:p>
    <w:p w:rsidR="00533940" w:rsidRDefault="00533940" w:rsidP="00533940">
      <w:pPr>
        <w:spacing w:before="120" w:after="120" w:line="276" w:lineRule="auto"/>
        <w:ind w:left="709"/>
      </w:pPr>
      <w:r>
        <w:t xml:space="preserve">The Queensland Charter may provide for a freestanding cause of action </w:t>
      </w:r>
      <w:r w:rsidR="003C10C7">
        <w:t xml:space="preserve">for victims of any contravention by public authorities of the requirement to act consistently with human rights, </w:t>
      </w:r>
      <w:r>
        <w:t xml:space="preserve">with the full range of remedies, including damages. </w:t>
      </w:r>
    </w:p>
    <w:p w:rsidR="00533940" w:rsidRDefault="00533940" w:rsidP="00533940">
      <w:pPr>
        <w:spacing w:before="120" w:after="120" w:line="276" w:lineRule="auto"/>
        <w:ind w:left="709"/>
      </w:pPr>
      <w:r w:rsidRPr="003C10C7">
        <w:t xml:space="preserve">The ACT </w:t>
      </w:r>
      <w:proofErr w:type="spellStart"/>
      <w:r w:rsidRPr="003C10C7">
        <w:t>Act</w:t>
      </w:r>
      <w:proofErr w:type="spellEnd"/>
      <w:r w:rsidRPr="003C10C7">
        <w:t xml:space="preserve"> has a freestanding cause of action, although damages are not recoverable.</w:t>
      </w:r>
      <w:r w:rsidRPr="003C10C7">
        <w:rPr>
          <w:rStyle w:val="FootnoteReference"/>
        </w:rPr>
        <w:footnoteReference w:id="28"/>
      </w:r>
      <w:r>
        <w:t xml:space="preserve"> </w:t>
      </w:r>
      <w:r w:rsidR="00CF2659">
        <w:t>The</w:t>
      </w:r>
      <w:r w:rsidR="007972C6">
        <w:t xml:space="preserve"> issue </w:t>
      </w:r>
      <w:r w:rsidR="00CF2659">
        <w:t xml:space="preserve">of damages </w:t>
      </w:r>
      <w:r w:rsidR="007972C6">
        <w:t xml:space="preserve">was recently considered in an ACT Government review of the ACT </w:t>
      </w:r>
      <w:proofErr w:type="spellStart"/>
      <w:r w:rsidR="007972C6">
        <w:t>Ac</w:t>
      </w:r>
      <w:r w:rsidR="00CF2659">
        <w:t>t</w:t>
      </w:r>
      <w:proofErr w:type="spellEnd"/>
      <w:r w:rsidR="00CF2659">
        <w:t>, and the Government confirmed:</w:t>
      </w:r>
    </w:p>
    <w:p w:rsidR="007972C6" w:rsidRPr="007972C6" w:rsidRDefault="007972C6" w:rsidP="007972C6">
      <w:pPr>
        <w:spacing w:before="120" w:after="120" w:line="276" w:lineRule="auto"/>
        <w:ind w:left="1418"/>
        <w:rPr>
          <w:sz w:val="16"/>
        </w:rPr>
      </w:pPr>
      <w:r>
        <w:rPr>
          <w:sz w:val="16"/>
        </w:rPr>
        <w:t>…</w:t>
      </w:r>
      <w:r w:rsidRPr="007972C6">
        <w:rPr>
          <w:sz w:val="16"/>
        </w:rPr>
        <w:t xml:space="preserve">the existing human rights framework affirmatively meets the requirement for an effective remedy through the availability of other suitable remedies such as declaratory or injunctive relief, interpreting legislation in accordance with human rights and vindication through declarations of incompatibility…Consistent with the Government’s response to the five year review of the </w:t>
      </w:r>
      <w:r>
        <w:rPr>
          <w:sz w:val="16"/>
        </w:rPr>
        <w:t>[Act]</w:t>
      </w:r>
      <w:r w:rsidRPr="007972C6">
        <w:rPr>
          <w:sz w:val="16"/>
        </w:rPr>
        <w:t xml:space="preserve">, the Government does not agree that damages be available as a form of relief for breach of a human right under the </w:t>
      </w:r>
      <w:r>
        <w:rPr>
          <w:sz w:val="16"/>
        </w:rPr>
        <w:t>[Act]</w:t>
      </w:r>
      <w:r w:rsidRPr="007972C6">
        <w:rPr>
          <w:sz w:val="16"/>
        </w:rPr>
        <w:t>.</w:t>
      </w:r>
      <w:r>
        <w:rPr>
          <w:rStyle w:val="FootnoteReference"/>
          <w:sz w:val="16"/>
        </w:rPr>
        <w:footnoteReference w:id="29"/>
      </w:r>
    </w:p>
    <w:p w:rsidR="00533940" w:rsidRDefault="00533940" w:rsidP="00533940">
      <w:pPr>
        <w:spacing w:before="120" w:after="120" w:line="276" w:lineRule="auto"/>
        <w:ind w:left="709"/>
      </w:pPr>
      <w:r>
        <w:t>Claims of unlawfulness under the Victorian Charter may only be raised in legal proceedings if there is another ground on which to impugn the decision or action. Damages are not recoverable.</w:t>
      </w:r>
      <w:r>
        <w:rPr>
          <w:rStyle w:val="FootnoteReference"/>
        </w:rPr>
        <w:footnoteReference w:id="30"/>
      </w:r>
      <w:r>
        <w:t xml:space="preserve"> </w:t>
      </w:r>
    </w:p>
    <w:p w:rsidR="00533940" w:rsidRDefault="00533940" w:rsidP="00533940">
      <w:pPr>
        <w:spacing w:before="120" w:after="120" w:line="276" w:lineRule="auto"/>
        <w:ind w:left="709"/>
      </w:pPr>
      <w:r>
        <w:t xml:space="preserve">A recent review of the Victorian Charter recommended that </w:t>
      </w:r>
      <w:r w:rsidR="00CF2659">
        <w:t>the Charter</w:t>
      </w:r>
      <w:r>
        <w:t xml:space="preserve"> provide a freestanding cause of action similar to the one that exists in the ACT. However, rather than being required to start court proceedings in the Supreme Court, it is recommended that proceedings </w:t>
      </w:r>
      <w:r w:rsidR="001812AE">
        <w:t>commence</w:t>
      </w:r>
      <w:r>
        <w:t xml:space="preserve"> in the Victorian Civil and Administrative Tribunal.</w:t>
      </w:r>
      <w:r>
        <w:rPr>
          <w:rStyle w:val="FootnoteReference"/>
        </w:rPr>
        <w:footnoteReference w:id="31"/>
      </w:r>
    </w:p>
    <w:p w:rsidR="0087121B" w:rsidRDefault="0087121B" w:rsidP="00533940">
      <w:pPr>
        <w:spacing w:before="120" w:after="120" w:line="276" w:lineRule="auto"/>
        <w:ind w:left="709"/>
      </w:pPr>
      <w:r>
        <w:t xml:space="preserve">In the UK, a </w:t>
      </w:r>
      <w:r w:rsidRPr="003C10C7">
        <w:t>freestanding cause of action</w:t>
      </w:r>
      <w:r>
        <w:t xml:space="preserve"> ap</w:t>
      </w:r>
      <w:r w:rsidR="00CF2659">
        <w:t>plies in certain circumstances. I</w:t>
      </w:r>
      <w:r>
        <w:t xml:space="preserve">n relation to any act (or proposed act) of a public authority </w:t>
      </w:r>
      <w:r w:rsidR="00CF2659">
        <w:t>that</w:t>
      </w:r>
      <w:r>
        <w:t xml:space="preserve"> the court finds is (or would be) unlawful, the court may grant such relief or remedy, or make such order, within its powers as it considers just and appropriate. Damages may only be awarded by a court that has power to award damages or the payment of compensation in civil proceedings. </w:t>
      </w:r>
      <w:r w:rsidR="00A40445">
        <w:t>No award of damages will be made unless, in all the circumstances, the court is satisfied that the award is necessary to afford just satisfaction to the victim.</w:t>
      </w:r>
      <w:r w:rsidR="00A40445">
        <w:rPr>
          <w:rStyle w:val="FootnoteReference"/>
        </w:rPr>
        <w:footnoteReference w:id="32"/>
      </w:r>
      <w:r>
        <w:t xml:space="preserve"> </w:t>
      </w:r>
    </w:p>
    <w:p w:rsidR="00825184" w:rsidRDefault="00825184" w:rsidP="00825184">
      <w:pPr>
        <w:pStyle w:val="AllensHeading3"/>
        <w:numPr>
          <w:ilvl w:val="0"/>
          <w:numId w:val="0"/>
        </w:numPr>
        <w:ind w:left="709"/>
        <w:rPr>
          <w:b/>
          <w:i/>
          <w:highlight w:val="yellow"/>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claims brought against entities for contravention of the charter to be:</w:t>
      </w:r>
    </w:p>
    <w:p w:rsidR="00825184" w:rsidRPr="002510A8" w:rsidRDefault="00825184" w:rsidP="00825184">
      <w:pPr>
        <w:pStyle w:val="AllensHeading3"/>
        <w:rPr>
          <w:b/>
        </w:rPr>
      </w:pPr>
      <w:r w:rsidRPr="002510A8">
        <w:rPr>
          <w:b/>
          <w:highlight w:val="yellow"/>
        </w:rPr>
        <w:t>a freestanding cause of action with recoverable damages;</w:t>
      </w:r>
    </w:p>
    <w:p w:rsidR="00825184" w:rsidRPr="002510A8" w:rsidRDefault="00825184" w:rsidP="00825184">
      <w:pPr>
        <w:pStyle w:val="AllensHeading3"/>
        <w:rPr>
          <w:b/>
        </w:rPr>
      </w:pPr>
      <w:r w:rsidRPr="002510A8">
        <w:rPr>
          <w:b/>
          <w:highlight w:val="yellow"/>
        </w:rPr>
        <w:t>a freestanding cause of action</w:t>
      </w:r>
      <w:r>
        <w:rPr>
          <w:b/>
          <w:highlight w:val="yellow"/>
        </w:rPr>
        <w:t xml:space="preserve"> but no recoverable damages (ACT position);</w:t>
      </w:r>
    </w:p>
    <w:p w:rsidR="00825184" w:rsidRPr="00825184" w:rsidRDefault="00825184" w:rsidP="00825184">
      <w:pPr>
        <w:pStyle w:val="AllensHeading3"/>
        <w:rPr>
          <w:b/>
        </w:rPr>
      </w:pPr>
      <w:r>
        <w:rPr>
          <w:b/>
          <w:highlight w:val="yellow"/>
        </w:rPr>
        <w:t>a claim for unlawfulness only where another ground exists to impugn the decision or action with no recoverable damages (Victorian position); or</w:t>
      </w:r>
    </w:p>
    <w:p w:rsidR="00825184" w:rsidRDefault="00825184" w:rsidP="00825184">
      <w:pPr>
        <w:pStyle w:val="AllensHeading3"/>
        <w:rPr>
          <w:b/>
        </w:rPr>
      </w:pPr>
      <w:r>
        <w:rPr>
          <w:b/>
          <w:highlight w:val="yellow"/>
        </w:rPr>
        <w:lastRenderedPageBreak/>
        <w:t>a freestanding cause of action where the court may order any relief or remedy it considers appropriate, including damages where necessary to justly compensate the victim (UK position)</w:t>
      </w:r>
      <w:r w:rsidRPr="002510A8">
        <w:rPr>
          <w:b/>
          <w:highlight w:val="yellow"/>
        </w:rPr>
        <w:t>]</w:t>
      </w:r>
      <w:r>
        <w:rPr>
          <w:b/>
        </w:rPr>
        <w:t>.</w:t>
      </w:r>
    </w:p>
    <w:p w:rsidR="001224A0" w:rsidRPr="005F6210" w:rsidRDefault="001224A0" w:rsidP="001224A0">
      <w:pPr>
        <w:pStyle w:val="AllensHeading3"/>
        <w:numPr>
          <w:ilvl w:val="0"/>
          <w:numId w:val="0"/>
        </w:numPr>
        <w:ind w:left="709"/>
        <w:rPr>
          <w:b/>
        </w:rPr>
      </w:pPr>
      <w:r w:rsidRPr="005F6210">
        <w:rPr>
          <w:b/>
          <w:highlight w:val="yellow"/>
        </w:rPr>
        <w:t xml:space="preserve">[Note to QAILS: </w:t>
      </w:r>
      <w:r w:rsidRPr="005F6210">
        <w:rPr>
          <w:b/>
          <w:i/>
          <w:highlight w:val="yellow"/>
        </w:rPr>
        <w:t>please provide your instructions as to whether you would like proceedings to be commenced in the Supreme Court of Queensland or the Civil and Administrative Tribunal]</w:t>
      </w:r>
    </w:p>
    <w:p w:rsidR="00DE122D" w:rsidRDefault="00842D3B" w:rsidP="00842D3B">
      <w:pPr>
        <w:pStyle w:val="AllensHeading2"/>
      </w:pPr>
      <w:r>
        <w:t>'Opt-in' mechanism</w:t>
      </w:r>
    </w:p>
    <w:p w:rsidR="003C10C7" w:rsidRDefault="003C10C7" w:rsidP="003C10C7">
      <w:pPr>
        <w:pStyle w:val="NormalIndent"/>
      </w:pPr>
      <w:r>
        <w:t xml:space="preserve">The ACT </w:t>
      </w:r>
      <w:proofErr w:type="spellStart"/>
      <w:r>
        <w:t>Act</w:t>
      </w:r>
      <w:proofErr w:type="spellEnd"/>
      <w:r>
        <w:t xml:space="preserve"> also includes an '</w:t>
      </w:r>
      <w:r w:rsidRPr="003C10C7">
        <w:t>opt-in</w:t>
      </w:r>
      <w:r>
        <w:t>'</w:t>
      </w:r>
      <w:r w:rsidRPr="003C10C7">
        <w:t xml:space="preserve"> </w:t>
      </w:r>
      <w:r w:rsidR="00CF2659">
        <w:t>provision</w:t>
      </w:r>
      <w:r>
        <w:t>,</w:t>
      </w:r>
      <w:r w:rsidRPr="003C10C7">
        <w:t xml:space="preserve"> which allows private </w:t>
      </w:r>
      <w:r>
        <w:t>entities</w:t>
      </w:r>
      <w:r w:rsidRPr="003C10C7">
        <w:t xml:space="preserve"> to write to the </w:t>
      </w:r>
      <w:r>
        <w:t>ACT A</w:t>
      </w:r>
      <w:r w:rsidRPr="003C10C7">
        <w:t>ttorney-</w:t>
      </w:r>
      <w:r>
        <w:t>G</w:t>
      </w:r>
      <w:r w:rsidRPr="003C10C7">
        <w:t xml:space="preserve">eneral to request a declaration that they </w:t>
      </w:r>
      <w:r>
        <w:t>be</w:t>
      </w:r>
      <w:r w:rsidRPr="003C10C7">
        <w:t xml:space="preserve"> bound by the provisions of the</w:t>
      </w:r>
      <w:r>
        <w:t xml:space="preserve"> ACT </w:t>
      </w:r>
      <w:proofErr w:type="spellStart"/>
      <w:r>
        <w:t>Act</w:t>
      </w:r>
      <w:proofErr w:type="spellEnd"/>
      <w:r>
        <w:t xml:space="preserve"> that apply to public authorities.</w:t>
      </w:r>
      <w:r>
        <w:rPr>
          <w:rStyle w:val="FootnoteReference"/>
        </w:rPr>
        <w:footnoteReference w:id="33"/>
      </w:r>
      <w:r>
        <w:t xml:space="preserve"> </w:t>
      </w:r>
      <w:r w:rsidR="008D7B45">
        <w:t>A recent review of the Victorian Charter recommended that this provision be included in the Charter.</w:t>
      </w:r>
      <w:r w:rsidR="008D7B45">
        <w:rPr>
          <w:rStyle w:val="FootnoteReference"/>
        </w:rPr>
        <w:footnoteReference w:id="34"/>
      </w:r>
    </w:p>
    <w:p w:rsidR="00634E9D" w:rsidRPr="003C10C7" w:rsidRDefault="00634E9D" w:rsidP="003C10C7">
      <w:pPr>
        <w:pStyle w:val="NormalIndent"/>
      </w:pPr>
      <w:r>
        <w:t>This issue is also discussed in our options paper relating to the proposed scope of application of a Queensland Charter.</w:t>
      </w:r>
    </w:p>
    <w:p w:rsidR="005131C0" w:rsidRDefault="00CF2659" w:rsidP="005131C0">
      <w:pPr>
        <w:pStyle w:val="AllensHeading1"/>
      </w:pPr>
      <w:r>
        <w:t>F</w:t>
      </w:r>
      <w:r w:rsidR="005131C0">
        <w:t>unctions and powers</w:t>
      </w:r>
      <w:r>
        <w:t xml:space="preserve"> of a human rights commission</w:t>
      </w:r>
    </w:p>
    <w:p w:rsidR="004F131C" w:rsidRDefault="00850A82" w:rsidP="004F131C">
      <w:pPr>
        <w:pStyle w:val="AllensHeading2"/>
      </w:pPr>
      <w:r>
        <w:t>Human rights commission</w:t>
      </w:r>
    </w:p>
    <w:p w:rsidR="00850A82" w:rsidRDefault="00850A82" w:rsidP="00850A82">
      <w:pPr>
        <w:pStyle w:val="NormalIndent"/>
      </w:pPr>
      <w:r w:rsidRPr="00850A82">
        <w:t xml:space="preserve">A Queensland </w:t>
      </w:r>
      <w:r>
        <w:t xml:space="preserve">Charter </w:t>
      </w:r>
      <w:r w:rsidRPr="00850A82">
        <w:t xml:space="preserve">could empower a body to investigate, report on and conciliate human rights complaints, intervene in relevant legal proceedings, conduct alternative dispute resolution processes, and research and report on compliance and reform of the </w:t>
      </w:r>
      <w:r>
        <w:t>Charter</w:t>
      </w:r>
      <w:r w:rsidRPr="00850A82">
        <w:t>. In Queensland, the Anti-Discrimination Commission could carry out this role</w:t>
      </w:r>
      <w:r>
        <w:t xml:space="preserve">, if it were </w:t>
      </w:r>
      <w:r w:rsidRPr="00850A82">
        <w:t>appropriately empowered</w:t>
      </w:r>
      <w:r w:rsidR="00CF2659">
        <w:t xml:space="preserve"> and resourced</w:t>
      </w:r>
      <w:r w:rsidRPr="00850A82">
        <w:t>.</w:t>
      </w:r>
      <w:r>
        <w:rPr>
          <w:rStyle w:val="FootnoteReference"/>
        </w:rPr>
        <w:footnoteReference w:id="35"/>
      </w:r>
      <w:r>
        <w:t xml:space="preserve"> A recent review of the Victorian Charter recommended </w:t>
      </w:r>
      <w:r w:rsidRPr="00850A82">
        <w:t>empowering the Victorian Human Rights and Equal Opportunity Commission to conciliate complaints</w:t>
      </w:r>
      <w:r w:rsidR="000426FD">
        <w:t xml:space="preserve">, and </w:t>
      </w:r>
      <w:r w:rsidR="000426FD" w:rsidRPr="000426FD">
        <w:t xml:space="preserve">provide human rights education </w:t>
      </w:r>
      <w:r w:rsidR="000426FD">
        <w:t>to</w:t>
      </w:r>
      <w:r w:rsidR="000426FD" w:rsidRPr="000426FD">
        <w:t xml:space="preserve"> the public sector</w:t>
      </w:r>
      <w:r w:rsidRPr="00850A82">
        <w:t>.</w:t>
      </w:r>
      <w:r>
        <w:rPr>
          <w:rStyle w:val="FootnoteReference"/>
        </w:rPr>
        <w:footnoteReference w:id="36"/>
      </w:r>
    </w:p>
    <w:p w:rsidR="00825184" w:rsidRPr="002510A8" w:rsidRDefault="00825184" w:rsidP="00825184">
      <w:pPr>
        <w:pStyle w:val="AllensHeading3"/>
        <w:numPr>
          <w:ilvl w:val="0"/>
          <w:numId w:val="0"/>
        </w:numPr>
        <w:ind w:left="709"/>
        <w:rPr>
          <w:b/>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the Charter to empower a body to perform the above functions and if you agree with having the Queensland Anti-Discrimination Commission to perform this role</w:t>
      </w:r>
      <w:r w:rsidRPr="002510A8">
        <w:rPr>
          <w:b/>
          <w:highlight w:val="yellow"/>
        </w:rPr>
        <w:t>]</w:t>
      </w:r>
      <w:r>
        <w:rPr>
          <w:b/>
        </w:rPr>
        <w:t>.</w:t>
      </w:r>
    </w:p>
    <w:p w:rsidR="005131C0" w:rsidRDefault="005131C0" w:rsidP="005131C0">
      <w:pPr>
        <w:pStyle w:val="AllensHeading1"/>
      </w:pPr>
      <w:r>
        <w:t>General</w:t>
      </w:r>
    </w:p>
    <w:p w:rsidR="00E02DDD" w:rsidRPr="00E02DDD" w:rsidRDefault="00E02DDD" w:rsidP="00E02DDD">
      <w:pPr>
        <w:pStyle w:val="AllensHeading2"/>
      </w:pPr>
      <w:r>
        <w:t>Review of the Queensland Charter</w:t>
      </w:r>
    </w:p>
    <w:p w:rsidR="005131C0" w:rsidRDefault="00E02DDD" w:rsidP="005131C0">
      <w:pPr>
        <w:pStyle w:val="NormalIndent"/>
      </w:pPr>
      <w:r>
        <w:t xml:space="preserve">It is </w:t>
      </w:r>
      <w:r w:rsidR="000426FD">
        <w:t>preferable</w:t>
      </w:r>
      <w:r>
        <w:t xml:space="preserve"> that, similarly to the ACT and Victorian position, </w:t>
      </w:r>
      <w:r w:rsidR="00CF2659">
        <w:t>the</w:t>
      </w:r>
      <w:r>
        <w:t xml:space="preserve"> Queensland Charter provide for a review of the operation of the Charter within a specified number of years.</w:t>
      </w:r>
      <w:r>
        <w:rPr>
          <w:rStyle w:val="FootnoteReference"/>
        </w:rPr>
        <w:footnoteReference w:id="37"/>
      </w:r>
    </w:p>
    <w:p w:rsidR="00825184" w:rsidRPr="002510A8" w:rsidRDefault="00825184" w:rsidP="00825184">
      <w:pPr>
        <w:pStyle w:val="AllensHeading3"/>
        <w:numPr>
          <w:ilvl w:val="0"/>
          <w:numId w:val="0"/>
        </w:numPr>
        <w:ind w:left="709"/>
        <w:rPr>
          <w:b/>
        </w:rPr>
      </w:pPr>
      <w:r w:rsidRPr="00C93484">
        <w:rPr>
          <w:b/>
          <w:highlight w:val="yellow"/>
        </w:rPr>
        <w:t xml:space="preserve">[Note to QAILS: </w:t>
      </w:r>
      <w:r w:rsidRPr="00C93484">
        <w:rPr>
          <w:b/>
          <w:i/>
          <w:highlight w:val="yellow"/>
        </w:rPr>
        <w:t xml:space="preserve">please provide your instructions as to whether you </w:t>
      </w:r>
      <w:r>
        <w:rPr>
          <w:b/>
          <w:i/>
          <w:highlight w:val="yellow"/>
        </w:rPr>
        <w:t>would like the Charter provide for a review within a specified number of years, and if so, how many years</w:t>
      </w:r>
      <w:r w:rsidRPr="002510A8">
        <w:rPr>
          <w:b/>
          <w:highlight w:val="yellow"/>
        </w:rPr>
        <w:t>]</w:t>
      </w:r>
      <w:r>
        <w:rPr>
          <w:b/>
        </w:rPr>
        <w:t>.</w:t>
      </w:r>
    </w:p>
    <w:p w:rsidR="00241BF3" w:rsidRDefault="00241BF3" w:rsidP="00241BF3">
      <w:pPr>
        <w:pStyle w:val="GeneralHeading1"/>
      </w:pPr>
      <w:r>
        <w:t xml:space="preserve">Glossary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6"/>
      </w:tblGrid>
      <w:tr w:rsidR="00241BF3" w:rsidTr="00556DE3">
        <w:tc>
          <w:tcPr>
            <w:tcW w:w="2376" w:type="dxa"/>
          </w:tcPr>
          <w:p w:rsidR="00241BF3" w:rsidRPr="002862CD" w:rsidRDefault="00241BF3" w:rsidP="00556DE3">
            <w:pPr>
              <w:spacing w:before="120" w:after="120" w:line="276" w:lineRule="auto"/>
              <w:rPr>
                <w:b/>
              </w:rPr>
            </w:pPr>
            <w:r w:rsidRPr="002862CD">
              <w:rPr>
                <w:b/>
              </w:rPr>
              <w:t>ACT</w:t>
            </w:r>
          </w:p>
        </w:tc>
        <w:tc>
          <w:tcPr>
            <w:tcW w:w="7196" w:type="dxa"/>
          </w:tcPr>
          <w:p w:rsidR="00241BF3" w:rsidRDefault="00241BF3" w:rsidP="00556DE3">
            <w:pPr>
              <w:spacing w:before="120" w:after="120" w:line="276" w:lineRule="auto"/>
            </w:pPr>
            <w:r>
              <w:t xml:space="preserve">Australian Capital Territory </w:t>
            </w:r>
          </w:p>
        </w:tc>
      </w:tr>
      <w:tr w:rsidR="00241BF3" w:rsidTr="00556DE3">
        <w:tc>
          <w:tcPr>
            <w:tcW w:w="2376" w:type="dxa"/>
          </w:tcPr>
          <w:p w:rsidR="00241BF3" w:rsidRPr="002862CD" w:rsidRDefault="00241BF3" w:rsidP="00556DE3">
            <w:pPr>
              <w:spacing w:before="120" w:after="120" w:line="276" w:lineRule="auto"/>
              <w:rPr>
                <w:b/>
              </w:rPr>
            </w:pPr>
            <w:r w:rsidRPr="002862CD">
              <w:rPr>
                <w:b/>
              </w:rPr>
              <w:t xml:space="preserve">ACT </w:t>
            </w:r>
            <w:proofErr w:type="spellStart"/>
            <w:r w:rsidRPr="002862CD">
              <w:rPr>
                <w:b/>
              </w:rPr>
              <w:t>Act</w:t>
            </w:r>
            <w:proofErr w:type="spellEnd"/>
          </w:p>
        </w:tc>
        <w:tc>
          <w:tcPr>
            <w:tcW w:w="7196" w:type="dxa"/>
          </w:tcPr>
          <w:p w:rsidR="00241BF3" w:rsidRPr="002862CD" w:rsidRDefault="00241BF3" w:rsidP="00556DE3">
            <w:pPr>
              <w:spacing w:before="120" w:after="120" w:line="276" w:lineRule="auto"/>
            </w:pPr>
            <w:r>
              <w:rPr>
                <w:i/>
              </w:rPr>
              <w:t xml:space="preserve">Human Rights Act 2004 </w:t>
            </w:r>
            <w:r>
              <w:t>(ACT)</w:t>
            </w:r>
          </w:p>
        </w:tc>
      </w:tr>
      <w:tr w:rsidR="00241BF3" w:rsidTr="00556DE3">
        <w:tc>
          <w:tcPr>
            <w:tcW w:w="2376" w:type="dxa"/>
          </w:tcPr>
          <w:p w:rsidR="00241BF3" w:rsidRPr="002862CD" w:rsidRDefault="00241BF3" w:rsidP="00556DE3">
            <w:pPr>
              <w:spacing w:before="120" w:after="120" w:line="276" w:lineRule="auto"/>
              <w:rPr>
                <w:b/>
              </w:rPr>
            </w:pPr>
            <w:r w:rsidRPr="002862CD">
              <w:rPr>
                <w:b/>
              </w:rPr>
              <w:lastRenderedPageBreak/>
              <w:t>UK</w:t>
            </w:r>
          </w:p>
        </w:tc>
        <w:tc>
          <w:tcPr>
            <w:tcW w:w="7196" w:type="dxa"/>
          </w:tcPr>
          <w:p w:rsidR="00241BF3" w:rsidRDefault="00241BF3" w:rsidP="00556DE3">
            <w:pPr>
              <w:spacing w:before="120" w:after="120" w:line="276" w:lineRule="auto"/>
            </w:pPr>
            <w:r>
              <w:t xml:space="preserve">United Kingdom </w:t>
            </w:r>
          </w:p>
        </w:tc>
      </w:tr>
      <w:tr w:rsidR="00241BF3" w:rsidTr="00556DE3">
        <w:tc>
          <w:tcPr>
            <w:tcW w:w="2376" w:type="dxa"/>
          </w:tcPr>
          <w:p w:rsidR="00241BF3" w:rsidRPr="002862CD" w:rsidRDefault="00241BF3" w:rsidP="00556DE3">
            <w:pPr>
              <w:spacing w:before="120" w:after="120" w:line="276" w:lineRule="auto"/>
              <w:rPr>
                <w:b/>
              </w:rPr>
            </w:pPr>
            <w:r>
              <w:rPr>
                <w:b/>
              </w:rPr>
              <w:t>UK Act</w:t>
            </w:r>
          </w:p>
        </w:tc>
        <w:tc>
          <w:tcPr>
            <w:tcW w:w="7196" w:type="dxa"/>
          </w:tcPr>
          <w:p w:rsidR="00241BF3" w:rsidRPr="002862CD" w:rsidRDefault="00241BF3" w:rsidP="00556DE3">
            <w:pPr>
              <w:spacing w:before="120" w:after="120" w:line="276" w:lineRule="auto"/>
            </w:pPr>
            <w:r w:rsidRPr="002862CD">
              <w:rPr>
                <w:i/>
              </w:rPr>
              <w:t>Human Rights Act 1998</w:t>
            </w:r>
            <w:r>
              <w:t xml:space="preserve"> (UK)</w:t>
            </w:r>
          </w:p>
        </w:tc>
      </w:tr>
      <w:tr w:rsidR="00241BF3" w:rsidTr="00556DE3">
        <w:tc>
          <w:tcPr>
            <w:tcW w:w="2376" w:type="dxa"/>
          </w:tcPr>
          <w:p w:rsidR="00241BF3" w:rsidRPr="002862CD" w:rsidRDefault="00241BF3" w:rsidP="00556DE3">
            <w:pPr>
              <w:spacing w:before="120" w:after="120" w:line="276" w:lineRule="auto"/>
              <w:rPr>
                <w:b/>
              </w:rPr>
            </w:pPr>
            <w:r w:rsidRPr="002862CD">
              <w:rPr>
                <w:b/>
              </w:rPr>
              <w:t>Victorian Act</w:t>
            </w:r>
          </w:p>
        </w:tc>
        <w:tc>
          <w:tcPr>
            <w:tcW w:w="7196" w:type="dxa"/>
          </w:tcPr>
          <w:p w:rsidR="00241BF3" w:rsidRPr="002862CD" w:rsidRDefault="00241BF3" w:rsidP="00556DE3">
            <w:pPr>
              <w:spacing w:before="120" w:after="120" w:line="276" w:lineRule="auto"/>
            </w:pPr>
            <w:r>
              <w:rPr>
                <w:i/>
              </w:rPr>
              <w:t xml:space="preserve">Charter of Human Rights and Responsibilities Act 2006 </w:t>
            </w:r>
            <w:r>
              <w:t>(Vic)</w:t>
            </w:r>
          </w:p>
        </w:tc>
      </w:tr>
    </w:tbl>
    <w:p w:rsidR="00B324B0" w:rsidRPr="00B324B0" w:rsidRDefault="00B324B0" w:rsidP="00CF2659">
      <w:pPr>
        <w:pStyle w:val="NormalIndent"/>
        <w:ind w:left="0"/>
        <w:jc w:val="both"/>
      </w:pPr>
    </w:p>
    <w:sectPr w:rsidR="00B324B0" w:rsidRPr="00B324B0" w:rsidSect="00306E78">
      <w:headerReference w:type="even" r:id="rId9"/>
      <w:headerReference w:type="default" r:id="rId10"/>
      <w:footerReference w:type="even" r:id="rId11"/>
      <w:footerReference w:type="default" r:id="rId12"/>
      <w:headerReference w:type="first" r:id="rId13"/>
      <w:footerReference w:type="first" r:id="rId14"/>
      <w:pgSz w:w="11907" w:h="16839" w:code="9"/>
      <w:pgMar w:top="1701" w:right="1134" w:bottom="1134" w:left="1417"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19" w:rsidRDefault="004A4D19">
      <w:r>
        <w:separator/>
      </w:r>
    </w:p>
  </w:endnote>
  <w:endnote w:type="continuationSeparator" w:id="0">
    <w:p w:rsidR="004A4D19" w:rsidRDefault="004A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36" w:rsidRDefault="00F55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4A4D19" w:rsidTr="009B17BB">
      <w:tc>
        <w:tcPr>
          <w:tcW w:w="8647" w:type="dxa"/>
        </w:tcPr>
        <w:p w:rsidR="004A4D19" w:rsidRDefault="00E02AD8">
          <w:pPr>
            <w:pStyle w:val="Footer"/>
          </w:pPr>
          <w:fldSimple w:instr=" DOCPROPERTY &quot;DOCSFooter&quot;  \* MERGEFORMAT ">
            <w:r w:rsidR="00F55E36">
              <w:t xml:space="preserve">fztb A0134722584v4 120564412 </w:t>
            </w:r>
          </w:fldSimple>
          <w:r w:rsidR="004A4D19">
            <w:t xml:space="preserve">    </w:t>
          </w:r>
          <w:r w:rsidR="004A4D19">
            <w:fldChar w:fldCharType="begin"/>
          </w:r>
          <w:r w:rsidR="004A4D19">
            <w:instrText xml:space="preserve"> SAVEDATE \@ "d.M.yyyy" \* MERGEFORMAT </w:instrText>
          </w:r>
          <w:r w:rsidR="004A4D19">
            <w:fldChar w:fldCharType="separate"/>
          </w:r>
          <w:r w:rsidR="00121248">
            <w:t>17.2.2016</w:t>
          </w:r>
          <w:r w:rsidR="004A4D19">
            <w:fldChar w:fldCharType="end"/>
          </w:r>
        </w:p>
      </w:tc>
      <w:tc>
        <w:tcPr>
          <w:tcW w:w="709" w:type="dxa"/>
        </w:tcPr>
        <w:p w:rsidR="004A4D19" w:rsidRDefault="004A4D19" w:rsidP="009B17BB">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911B6">
            <w:rPr>
              <w:snapToGrid w:val="0"/>
            </w:rPr>
            <w:t>2</w:t>
          </w:r>
          <w:r>
            <w:rPr>
              <w:snapToGrid w:val="0"/>
            </w:rPr>
            <w:fldChar w:fldCharType="end"/>
          </w:r>
        </w:p>
      </w:tc>
    </w:tr>
  </w:tbl>
  <w:p w:rsidR="004A4D19" w:rsidRDefault="004A4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4A4D19" w:rsidTr="009B17BB">
      <w:tc>
        <w:tcPr>
          <w:tcW w:w="8647" w:type="dxa"/>
        </w:tcPr>
        <w:p w:rsidR="004A4D19" w:rsidRDefault="00E02AD8">
          <w:pPr>
            <w:pStyle w:val="Footer"/>
          </w:pPr>
          <w:fldSimple w:instr=" DOCPROPERTY &quot;DOCSFooter&quot;  \* MERGEFORMAT ">
            <w:r w:rsidR="00F55E36">
              <w:t xml:space="preserve">fztb A0134722584v4 120564412 </w:t>
            </w:r>
          </w:fldSimple>
          <w:r w:rsidR="004A4D19">
            <w:t xml:space="preserve">    </w:t>
          </w:r>
          <w:r w:rsidR="004A4D19">
            <w:fldChar w:fldCharType="begin"/>
          </w:r>
          <w:r w:rsidR="004A4D19">
            <w:instrText xml:space="preserve"> SAVEDATE \@ "d.M.yyyy" \* MERGEFORMAT </w:instrText>
          </w:r>
          <w:r w:rsidR="004A4D19">
            <w:fldChar w:fldCharType="separate"/>
          </w:r>
          <w:r w:rsidR="00121248">
            <w:t>17.2.2016</w:t>
          </w:r>
          <w:r w:rsidR="004A4D19">
            <w:fldChar w:fldCharType="end"/>
          </w:r>
        </w:p>
      </w:tc>
      <w:tc>
        <w:tcPr>
          <w:tcW w:w="709" w:type="dxa"/>
        </w:tcPr>
        <w:p w:rsidR="004A4D19" w:rsidRDefault="004A4D19">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911B6">
            <w:rPr>
              <w:snapToGrid w:val="0"/>
            </w:rPr>
            <w:t>1</w:t>
          </w:r>
          <w:r>
            <w:rPr>
              <w:snapToGrid w:val="0"/>
            </w:rPr>
            <w:fldChar w:fldCharType="end"/>
          </w:r>
        </w:p>
      </w:tc>
    </w:tr>
  </w:tbl>
  <w:p w:rsidR="004A4D19" w:rsidRDefault="004A4D19">
    <w:pPr>
      <w:pStyle w:val="Footer"/>
    </w:pPr>
    <w:bookmarkStart w:id="1" w:name="DocumentDisclaimer"/>
    <w:r>
      <w:rPr>
        <w:sz w:val="12"/>
      </w:rPr>
      <w:t>Allens is an independent partnership operating in alliance with Linklaters LLP.</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19" w:rsidRDefault="004A4D19">
      <w:r>
        <w:separator/>
      </w:r>
    </w:p>
  </w:footnote>
  <w:footnote w:type="continuationSeparator" w:id="0">
    <w:p w:rsidR="004A4D19" w:rsidRDefault="004A4D19">
      <w:r>
        <w:continuationSeparator/>
      </w:r>
    </w:p>
  </w:footnote>
  <w:footnote w:id="1">
    <w:p w:rsidR="00870BE4" w:rsidRDefault="00870BE4">
      <w:pPr>
        <w:pStyle w:val="FootnoteText"/>
      </w:pPr>
      <w:r>
        <w:rPr>
          <w:rStyle w:val="FootnoteReference"/>
        </w:rPr>
        <w:footnoteRef/>
      </w:r>
      <w:r>
        <w:t xml:space="preserve"> ACT </w:t>
      </w:r>
      <w:proofErr w:type="spellStart"/>
      <w:r>
        <w:t>Act</w:t>
      </w:r>
      <w:proofErr w:type="spellEnd"/>
      <w:r>
        <w:t>, section 37</w:t>
      </w:r>
      <w:r w:rsidR="00C7299C">
        <w:t>; Victorian Charter, section 28</w:t>
      </w:r>
    </w:p>
  </w:footnote>
  <w:footnote w:id="2">
    <w:p w:rsidR="00C6256B" w:rsidRDefault="00C6256B" w:rsidP="00A91328">
      <w:pPr>
        <w:pStyle w:val="FootnoteText"/>
      </w:pPr>
      <w:r>
        <w:rPr>
          <w:rStyle w:val="FootnoteReference"/>
        </w:rPr>
        <w:footnoteRef/>
      </w:r>
      <w:r>
        <w:t xml:space="preserve"> </w:t>
      </w:r>
      <w:r w:rsidR="00A91328">
        <w:t xml:space="preserve">Simon Evans, 'The Victorian Charter of Rights and Responsibilities and the ACT Human Rights Act: Four Key Differences and Their Implications for Victoria’ (Paper presented at the Australian Bills of Rights: The ACT and Beyond Conference, Australian National University, 21 June 2006), cited </w:t>
      </w:r>
      <w:r w:rsidR="00A91328" w:rsidRPr="00A91328">
        <w:t xml:space="preserve">in </w:t>
      </w:r>
      <w:r w:rsidRPr="00A91328">
        <w:t xml:space="preserve">Tasmania Law Reform Institute, </w:t>
      </w:r>
      <w:r w:rsidRPr="00A91328">
        <w:rPr>
          <w:i/>
        </w:rPr>
        <w:t>A Charter of Rights for Tasmania Tenth Report</w:t>
      </w:r>
      <w:r w:rsidR="00A91328">
        <w:t xml:space="preserve"> (October 2007) 38</w:t>
      </w:r>
      <w:r w:rsidRPr="00A91328">
        <w:t>.</w:t>
      </w:r>
      <w:r w:rsidRPr="00740942">
        <w:t xml:space="preserve">  </w:t>
      </w:r>
    </w:p>
  </w:footnote>
  <w:footnote w:id="3">
    <w:p w:rsidR="00C7299C" w:rsidRDefault="00C7299C">
      <w:pPr>
        <w:pStyle w:val="FootnoteText"/>
      </w:pPr>
      <w:r>
        <w:rPr>
          <w:rStyle w:val="FootnoteReference"/>
        </w:rPr>
        <w:footnoteRef/>
      </w:r>
      <w:r>
        <w:t xml:space="preserve"> </w:t>
      </w:r>
      <w:r w:rsidR="00927E35">
        <w:t xml:space="preserve">ACT </w:t>
      </w:r>
      <w:proofErr w:type="spellStart"/>
      <w:r w:rsidR="00927E35">
        <w:t>Act</w:t>
      </w:r>
      <w:proofErr w:type="spellEnd"/>
      <w:r w:rsidR="00927E35">
        <w:t>, section 39</w:t>
      </w:r>
    </w:p>
  </w:footnote>
  <w:footnote w:id="4">
    <w:p w:rsidR="00281172" w:rsidRDefault="00281172">
      <w:pPr>
        <w:pStyle w:val="FootnoteText"/>
      </w:pPr>
      <w:r>
        <w:rPr>
          <w:rStyle w:val="FootnoteReference"/>
        </w:rPr>
        <w:footnoteRef/>
      </w:r>
      <w:r>
        <w:t xml:space="preserve"> </w:t>
      </w:r>
      <w:r w:rsidR="009132C7">
        <w:t xml:space="preserve">ACT </w:t>
      </w:r>
      <w:proofErr w:type="spellStart"/>
      <w:r w:rsidR="009132C7">
        <w:t>Act</w:t>
      </w:r>
      <w:proofErr w:type="spellEnd"/>
      <w:r w:rsidR="009132C7">
        <w:t xml:space="preserve">, section 38; </w:t>
      </w:r>
      <w:r>
        <w:t>Victorian Charter, section 30</w:t>
      </w:r>
    </w:p>
  </w:footnote>
  <w:footnote w:id="5">
    <w:p w:rsidR="00C212D9" w:rsidRDefault="00C212D9">
      <w:pPr>
        <w:pStyle w:val="FootnoteText"/>
      </w:pPr>
      <w:r>
        <w:rPr>
          <w:rStyle w:val="FootnoteReference"/>
        </w:rPr>
        <w:footnoteRef/>
      </w:r>
      <w:r>
        <w:t xml:space="preserve"> </w:t>
      </w:r>
      <w:r w:rsidRPr="000426FD">
        <w:t>Michael Brett Young</w:t>
      </w:r>
      <w:r w:rsidR="00F21E25">
        <w:t>,</w:t>
      </w:r>
      <w:r w:rsidRPr="000426FD">
        <w:t xml:space="preserve"> ‘From Commitment to Culture the 2015 Review of the Charter of Human Rights and Responsibilities Act 2006'</w:t>
      </w:r>
      <w:r>
        <w:t>, recommendation 38</w:t>
      </w:r>
    </w:p>
  </w:footnote>
  <w:footnote w:id="6">
    <w:p w:rsidR="00B46501" w:rsidRDefault="00B46501" w:rsidP="00B46501">
      <w:pPr>
        <w:pStyle w:val="FootnoteText"/>
      </w:pPr>
      <w:r>
        <w:rPr>
          <w:rStyle w:val="FootnoteReference"/>
        </w:rPr>
        <w:footnoteRef/>
      </w:r>
      <w:r>
        <w:t xml:space="preserve"> ACT Government, '</w:t>
      </w:r>
      <w:r w:rsidRPr="00642E83">
        <w:t>Economic, social and cultural rights in the Human Rights Act 2004</w:t>
      </w:r>
      <w:r>
        <w:t xml:space="preserve"> Section 43 review' (November 2014), page 26</w:t>
      </w:r>
    </w:p>
  </w:footnote>
  <w:footnote w:id="7">
    <w:p w:rsidR="00F77041" w:rsidRDefault="00F77041">
      <w:pPr>
        <w:pStyle w:val="FootnoteText"/>
      </w:pPr>
      <w:r>
        <w:rPr>
          <w:rStyle w:val="FootnoteReference"/>
        </w:rPr>
        <w:footnoteRef/>
      </w:r>
      <w:r>
        <w:t xml:space="preserve"> </w:t>
      </w:r>
      <w:r w:rsidR="00143A1E">
        <w:t xml:space="preserve">ACT </w:t>
      </w:r>
      <w:proofErr w:type="spellStart"/>
      <w:r w:rsidR="00143A1E">
        <w:t>Act</w:t>
      </w:r>
      <w:proofErr w:type="spellEnd"/>
      <w:r w:rsidR="00143A1E">
        <w:t xml:space="preserve">, section 30; </w:t>
      </w:r>
      <w:r>
        <w:t>Victorian Charter, section 32(1)</w:t>
      </w:r>
    </w:p>
  </w:footnote>
  <w:footnote w:id="8">
    <w:p w:rsidR="00143A1E" w:rsidRDefault="00143A1E" w:rsidP="00143A1E">
      <w:pPr>
        <w:pStyle w:val="FootnoteText"/>
      </w:pPr>
      <w:r>
        <w:rPr>
          <w:rStyle w:val="FootnoteReference"/>
        </w:rPr>
        <w:footnoteRef/>
      </w:r>
      <w:r>
        <w:t xml:space="preserve"> Victorian Charter, section 32(2); ACT </w:t>
      </w:r>
      <w:proofErr w:type="spellStart"/>
      <w:r>
        <w:t>Act</w:t>
      </w:r>
      <w:proofErr w:type="spellEnd"/>
      <w:r>
        <w:t>, section 31(1)</w:t>
      </w:r>
    </w:p>
  </w:footnote>
  <w:footnote w:id="9">
    <w:p w:rsidR="007B6AB2" w:rsidRDefault="007B6AB2">
      <w:pPr>
        <w:pStyle w:val="FootnoteText"/>
      </w:pPr>
      <w:r>
        <w:rPr>
          <w:rStyle w:val="FootnoteReference"/>
        </w:rPr>
        <w:footnoteRef/>
      </w:r>
      <w:r>
        <w:t xml:space="preserve"> ACT </w:t>
      </w:r>
      <w:proofErr w:type="spellStart"/>
      <w:r>
        <w:t>Act</w:t>
      </w:r>
      <w:proofErr w:type="spellEnd"/>
      <w:r>
        <w:t>, section 31(2)</w:t>
      </w:r>
    </w:p>
  </w:footnote>
  <w:footnote w:id="10">
    <w:p w:rsidR="00F77041" w:rsidRDefault="00F77041">
      <w:pPr>
        <w:pStyle w:val="FootnoteText"/>
      </w:pPr>
      <w:r>
        <w:rPr>
          <w:rStyle w:val="FootnoteReference"/>
        </w:rPr>
        <w:footnoteRef/>
      </w:r>
      <w:r>
        <w:t xml:space="preserve"> Victorian Charter, section 32(3)</w:t>
      </w:r>
    </w:p>
  </w:footnote>
  <w:footnote w:id="11">
    <w:p w:rsidR="002E0839" w:rsidRDefault="002E0839" w:rsidP="002E0839">
      <w:pPr>
        <w:pStyle w:val="FootnoteText"/>
      </w:pPr>
      <w:r>
        <w:rPr>
          <w:rStyle w:val="FootnoteReference"/>
        </w:rPr>
        <w:footnoteRef/>
      </w:r>
      <w:r>
        <w:t xml:space="preserve"> UK Act, section 4 </w:t>
      </w:r>
    </w:p>
  </w:footnote>
  <w:footnote w:id="12">
    <w:p w:rsidR="002E0839" w:rsidRDefault="002E0839" w:rsidP="002E0839">
      <w:pPr>
        <w:pStyle w:val="FootnoteText"/>
      </w:pPr>
      <w:r>
        <w:rPr>
          <w:rStyle w:val="FootnoteReference"/>
        </w:rPr>
        <w:footnoteRef/>
      </w:r>
      <w:r>
        <w:t xml:space="preserve"> UK Act, section 10 </w:t>
      </w:r>
    </w:p>
  </w:footnote>
  <w:footnote w:id="13">
    <w:p w:rsidR="00865982" w:rsidRDefault="00865982">
      <w:pPr>
        <w:pStyle w:val="FootnoteText"/>
      </w:pPr>
      <w:r>
        <w:rPr>
          <w:rStyle w:val="FootnoteReference"/>
        </w:rPr>
        <w:footnoteRef/>
      </w:r>
      <w:r>
        <w:t xml:space="preserve"> Victorian Charter, section 33</w:t>
      </w:r>
    </w:p>
  </w:footnote>
  <w:footnote w:id="14">
    <w:p w:rsidR="00CF5090" w:rsidRDefault="00CF5090">
      <w:pPr>
        <w:pStyle w:val="FootnoteText"/>
      </w:pPr>
      <w:r>
        <w:rPr>
          <w:rStyle w:val="FootnoteReference"/>
        </w:rPr>
        <w:footnoteRef/>
      </w:r>
      <w:r>
        <w:t xml:space="preserve"> ACT </w:t>
      </w:r>
      <w:proofErr w:type="spellStart"/>
      <w:r>
        <w:t>Act</w:t>
      </w:r>
      <w:proofErr w:type="spellEnd"/>
      <w:r>
        <w:t>, sections 35-36</w:t>
      </w:r>
      <w:r w:rsidR="00F21E25">
        <w:t>; Victorian Charter, section 34</w:t>
      </w:r>
    </w:p>
  </w:footnote>
  <w:footnote w:id="15">
    <w:p w:rsidR="00C93693" w:rsidRDefault="00C93693">
      <w:pPr>
        <w:pStyle w:val="FootnoteText"/>
      </w:pPr>
      <w:r>
        <w:rPr>
          <w:rStyle w:val="FootnoteReference"/>
        </w:rPr>
        <w:footnoteRef/>
      </w:r>
      <w:r w:rsidR="00F21E25">
        <w:t xml:space="preserve"> Victorian Charter, section </w:t>
      </w:r>
      <w:r>
        <w:t>35</w:t>
      </w:r>
      <w:r w:rsidR="009062CD">
        <w:t xml:space="preserve">; ACT </w:t>
      </w:r>
      <w:proofErr w:type="spellStart"/>
      <w:r w:rsidR="009062CD">
        <w:t>Act</w:t>
      </w:r>
      <w:proofErr w:type="spellEnd"/>
      <w:r w:rsidR="009062CD">
        <w:t>, section 34</w:t>
      </w:r>
      <w:r>
        <w:t xml:space="preserve"> </w:t>
      </w:r>
    </w:p>
  </w:footnote>
  <w:footnote w:id="16">
    <w:p w:rsidR="00F80C50" w:rsidRDefault="00F80C50">
      <w:pPr>
        <w:pStyle w:val="FootnoteText"/>
      </w:pPr>
      <w:r>
        <w:rPr>
          <w:rStyle w:val="FootnoteReference"/>
        </w:rPr>
        <w:footnoteRef/>
      </w:r>
      <w:r>
        <w:t xml:space="preserve"> ACT </w:t>
      </w:r>
      <w:proofErr w:type="spellStart"/>
      <w:r>
        <w:t>Act</w:t>
      </w:r>
      <w:proofErr w:type="spellEnd"/>
      <w:r>
        <w:t>, section 32</w:t>
      </w:r>
    </w:p>
  </w:footnote>
  <w:footnote w:id="17">
    <w:p w:rsidR="009062CD" w:rsidRDefault="009062CD">
      <w:pPr>
        <w:pStyle w:val="FootnoteText"/>
      </w:pPr>
      <w:r>
        <w:rPr>
          <w:rStyle w:val="FootnoteReference"/>
        </w:rPr>
        <w:footnoteRef/>
      </w:r>
      <w:r>
        <w:t xml:space="preserve"> ACT </w:t>
      </w:r>
      <w:proofErr w:type="spellStart"/>
      <w:r>
        <w:t>Act</w:t>
      </w:r>
      <w:proofErr w:type="spellEnd"/>
      <w:r>
        <w:t>, section 34</w:t>
      </w:r>
    </w:p>
  </w:footnote>
  <w:footnote w:id="18">
    <w:p w:rsidR="00F85970" w:rsidRDefault="00F85970">
      <w:pPr>
        <w:pStyle w:val="FootnoteText"/>
      </w:pPr>
      <w:r>
        <w:rPr>
          <w:rStyle w:val="FootnoteReference"/>
        </w:rPr>
        <w:footnoteRef/>
      </w:r>
      <w:r>
        <w:t xml:space="preserve"> ACT </w:t>
      </w:r>
      <w:proofErr w:type="spellStart"/>
      <w:r>
        <w:t>Act</w:t>
      </w:r>
      <w:proofErr w:type="spellEnd"/>
      <w:r>
        <w:t>, section 33</w:t>
      </w:r>
    </w:p>
  </w:footnote>
  <w:footnote w:id="19">
    <w:p w:rsidR="0083751D" w:rsidRDefault="0083751D">
      <w:pPr>
        <w:pStyle w:val="FootnoteText"/>
      </w:pPr>
      <w:r>
        <w:rPr>
          <w:rStyle w:val="FootnoteReference"/>
        </w:rPr>
        <w:footnoteRef/>
      </w:r>
      <w:r>
        <w:t xml:space="preserve"> Victorian Charter, section 36</w:t>
      </w:r>
    </w:p>
  </w:footnote>
  <w:footnote w:id="20">
    <w:p w:rsidR="00F44E29" w:rsidRDefault="00F44E29">
      <w:pPr>
        <w:pStyle w:val="FootnoteText"/>
      </w:pPr>
      <w:r>
        <w:rPr>
          <w:rStyle w:val="FootnoteReference"/>
        </w:rPr>
        <w:footnoteRef/>
      </w:r>
      <w:r>
        <w:t xml:space="preserve"> Victorian Charter, section 31</w:t>
      </w:r>
    </w:p>
  </w:footnote>
  <w:footnote w:id="21">
    <w:p w:rsidR="00927E35" w:rsidRDefault="00927E35">
      <w:pPr>
        <w:pStyle w:val="FootnoteText"/>
      </w:pPr>
      <w:r>
        <w:rPr>
          <w:rStyle w:val="FootnoteReference"/>
        </w:rPr>
        <w:footnoteRef/>
      </w:r>
      <w:r>
        <w:t xml:space="preserve"> </w:t>
      </w:r>
      <w:r w:rsidR="00D20C5D">
        <w:t>Young, above, n5</w:t>
      </w:r>
      <w:r w:rsidR="00CF2659">
        <w:t>, recommendation 46</w:t>
      </w:r>
    </w:p>
  </w:footnote>
  <w:footnote w:id="22">
    <w:p w:rsidR="001812AE" w:rsidRDefault="001812AE">
      <w:pPr>
        <w:pStyle w:val="FootnoteText"/>
      </w:pPr>
      <w:r>
        <w:rPr>
          <w:rStyle w:val="FootnoteReference"/>
        </w:rPr>
        <w:footnoteRef/>
      </w:r>
      <w:r>
        <w:t xml:space="preserve"> </w:t>
      </w:r>
      <w:r w:rsidR="004F131C">
        <w:t>Victorian Charter, section 4</w:t>
      </w:r>
    </w:p>
  </w:footnote>
  <w:footnote w:id="23">
    <w:p w:rsidR="00AF1EB1" w:rsidRDefault="00AF1EB1">
      <w:pPr>
        <w:pStyle w:val="FootnoteText"/>
      </w:pPr>
      <w:r>
        <w:rPr>
          <w:rStyle w:val="FootnoteReference"/>
        </w:rPr>
        <w:footnoteRef/>
      </w:r>
      <w:r>
        <w:t xml:space="preserve"> ACT </w:t>
      </w:r>
      <w:proofErr w:type="spellStart"/>
      <w:r>
        <w:t>Act</w:t>
      </w:r>
      <w:proofErr w:type="spellEnd"/>
      <w:r>
        <w:t>, section 40B</w:t>
      </w:r>
    </w:p>
  </w:footnote>
  <w:footnote w:id="24">
    <w:p w:rsidR="00DE122D" w:rsidRDefault="00DE122D">
      <w:pPr>
        <w:pStyle w:val="FootnoteText"/>
      </w:pPr>
      <w:r>
        <w:rPr>
          <w:rStyle w:val="FootnoteReference"/>
        </w:rPr>
        <w:footnoteRef/>
      </w:r>
      <w:r w:rsidR="003C10C7">
        <w:t xml:space="preserve"> </w:t>
      </w:r>
      <w:r>
        <w:t>Victorian Charter, section 38</w:t>
      </w:r>
      <w:r w:rsidR="00AF1EB1">
        <w:t xml:space="preserve">; </w:t>
      </w:r>
      <w:r w:rsidR="00AF1EB1">
        <w:rPr>
          <w:szCs w:val="21"/>
        </w:rPr>
        <w:t>religious exceptions and equality measures in other Victorian laws are currently under review in Victoria, and an independent review recommended this provision also be exa</w:t>
      </w:r>
      <w:r w:rsidR="002E0839">
        <w:rPr>
          <w:szCs w:val="21"/>
        </w:rPr>
        <w:t xml:space="preserve">mined during the review process: </w:t>
      </w:r>
      <w:r w:rsidR="00D20C5D">
        <w:rPr>
          <w:szCs w:val="21"/>
        </w:rPr>
        <w:t>Young, above, n5</w:t>
      </w:r>
      <w:r w:rsidR="00AF1EB1">
        <w:t>, recommendation 18</w:t>
      </w:r>
    </w:p>
  </w:footnote>
  <w:footnote w:id="25">
    <w:p w:rsidR="00AF1EB1" w:rsidRDefault="00AF1EB1">
      <w:pPr>
        <w:pStyle w:val="FootnoteText"/>
      </w:pPr>
      <w:r>
        <w:rPr>
          <w:rStyle w:val="FootnoteReference"/>
        </w:rPr>
        <w:footnoteRef/>
      </w:r>
      <w:r>
        <w:t xml:space="preserve"> </w:t>
      </w:r>
      <w:r w:rsidR="00D20C5D">
        <w:t>Young, above, n5</w:t>
      </w:r>
      <w:r>
        <w:t>, recommendation 17</w:t>
      </w:r>
    </w:p>
  </w:footnote>
  <w:footnote w:id="26">
    <w:p w:rsidR="000426FD" w:rsidRDefault="000426FD">
      <w:pPr>
        <w:pStyle w:val="FootnoteText"/>
      </w:pPr>
      <w:r>
        <w:rPr>
          <w:rStyle w:val="FootnoteReference"/>
        </w:rPr>
        <w:footnoteRef/>
      </w:r>
      <w:r>
        <w:t xml:space="preserve"> </w:t>
      </w:r>
      <w:r w:rsidR="00D20C5D">
        <w:t>Young, above, n5</w:t>
      </w:r>
      <w:r>
        <w:t>, recommendation 12</w:t>
      </w:r>
      <w:r w:rsidRPr="000426FD">
        <w:t xml:space="preserve"> </w:t>
      </w:r>
    </w:p>
  </w:footnote>
  <w:footnote w:id="27">
    <w:p w:rsidR="008D7B45" w:rsidRDefault="008D7B45">
      <w:pPr>
        <w:pStyle w:val="FootnoteText"/>
      </w:pPr>
      <w:r>
        <w:rPr>
          <w:rStyle w:val="FootnoteReference"/>
        </w:rPr>
        <w:footnoteRef/>
      </w:r>
      <w:r>
        <w:t xml:space="preserve"> </w:t>
      </w:r>
      <w:r w:rsidR="00D20C5D">
        <w:t>Young, above, n5</w:t>
      </w:r>
      <w:r w:rsidR="00AF1EB1">
        <w:t xml:space="preserve">, recommendation </w:t>
      </w:r>
      <w:r>
        <w:t>13</w:t>
      </w:r>
    </w:p>
  </w:footnote>
  <w:footnote w:id="28">
    <w:p w:rsidR="00533940" w:rsidRDefault="00533940" w:rsidP="00533940">
      <w:pPr>
        <w:pStyle w:val="FootnoteText"/>
      </w:pPr>
      <w:r>
        <w:rPr>
          <w:rStyle w:val="FootnoteReference"/>
        </w:rPr>
        <w:footnoteRef/>
      </w:r>
      <w:r>
        <w:t xml:space="preserve"> ACT </w:t>
      </w:r>
      <w:proofErr w:type="spellStart"/>
      <w:r>
        <w:t>Act</w:t>
      </w:r>
      <w:proofErr w:type="spellEnd"/>
      <w:r>
        <w:t>, s</w:t>
      </w:r>
      <w:r w:rsidR="003C10C7">
        <w:t>ection</w:t>
      </w:r>
      <w:r>
        <w:t xml:space="preserve"> 40C</w:t>
      </w:r>
      <w:r w:rsidR="00642E83">
        <w:t xml:space="preserve">; </w:t>
      </w:r>
      <w:r w:rsidR="00CF2659">
        <w:t xml:space="preserve">see also </w:t>
      </w:r>
      <w:r w:rsidR="00642E83">
        <w:t>ACT Government, '</w:t>
      </w:r>
      <w:r w:rsidR="00642E83" w:rsidRPr="00642E83">
        <w:t>Economic, social and cultural rights in the Human Rights Act 2004</w:t>
      </w:r>
      <w:r w:rsidR="00642E83">
        <w:t xml:space="preserve"> Section 43 review' (November 2014), page</w:t>
      </w:r>
      <w:r w:rsidR="007972C6">
        <w:t>s</w:t>
      </w:r>
      <w:r w:rsidR="00642E83">
        <w:t xml:space="preserve"> 23</w:t>
      </w:r>
      <w:r w:rsidR="007972C6">
        <w:t>-24</w:t>
      </w:r>
    </w:p>
  </w:footnote>
  <w:footnote w:id="29">
    <w:p w:rsidR="007972C6" w:rsidRDefault="007972C6">
      <w:pPr>
        <w:pStyle w:val="FootnoteText"/>
      </w:pPr>
      <w:r>
        <w:rPr>
          <w:rStyle w:val="FootnoteReference"/>
        </w:rPr>
        <w:footnoteRef/>
      </w:r>
      <w:r>
        <w:t xml:space="preserve"> ACT Government, </w:t>
      </w:r>
      <w:r w:rsidR="00CF2659">
        <w:t xml:space="preserve">above, n28, </w:t>
      </w:r>
      <w:r>
        <w:t>page 25</w:t>
      </w:r>
    </w:p>
  </w:footnote>
  <w:footnote w:id="30">
    <w:p w:rsidR="00533940" w:rsidRDefault="00533940" w:rsidP="00533940">
      <w:pPr>
        <w:pStyle w:val="FootnoteText"/>
      </w:pPr>
      <w:r>
        <w:rPr>
          <w:rStyle w:val="FootnoteReference"/>
        </w:rPr>
        <w:footnoteRef/>
      </w:r>
      <w:r w:rsidR="00850A82">
        <w:t xml:space="preserve"> Victorian Charter, section 39</w:t>
      </w:r>
    </w:p>
  </w:footnote>
  <w:footnote w:id="31">
    <w:p w:rsidR="00533940" w:rsidRDefault="00533940" w:rsidP="00533940">
      <w:pPr>
        <w:pStyle w:val="FootnoteText"/>
        <w:rPr>
          <w:lang w:val="en-US"/>
        </w:rPr>
      </w:pPr>
      <w:r w:rsidRPr="000426FD">
        <w:rPr>
          <w:rStyle w:val="FootnoteReference"/>
        </w:rPr>
        <w:footnoteRef/>
      </w:r>
      <w:r w:rsidRPr="000426FD">
        <w:t xml:space="preserve"> </w:t>
      </w:r>
      <w:r w:rsidR="00D20C5D">
        <w:t>Young, above, n5</w:t>
      </w:r>
      <w:r w:rsidRPr="000426FD">
        <w:t xml:space="preserve">, recommendations </w:t>
      </w:r>
      <w:r w:rsidR="000426FD" w:rsidRPr="000426FD">
        <w:t xml:space="preserve">6, </w:t>
      </w:r>
      <w:r w:rsidRPr="000426FD">
        <w:t>23</w:t>
      </w:r>
      <w:r w:rsidR="00C212D9">
        <w:t xml:space="preserve"> and </w:t>
      </w:r>
      <w:r w:rsidRPr="000426FD">
        <w:t>27</w:t>
      </w:r>
    </w:p>
  </w:footnote>
  <w:footnote w:id="32">
    <w:p w:rsidR="00A40445" w:rsidRDefault="00A40445">
      <w:pPr>
        <w:pStyle w:val="FootnoteText"/>
      </w:pPr>
      <w:r>
        <w:rPr>
          <w:rStyle w:val="FootnoteReference"/>
        </w:rPr>
        <w:footnoteRef/>
      </w:r>
      <w:r>
        <w:t xml:space="preserve"> UK Act, section 8</w:t>
      </w:r>
    </w:p>
  </w:footnote>
  <w:footnote w:id="33">
    <w:p w:rsidR="003C10C7" w:rsidRDefault="003C10C7">
      <w:pPr>
        <w:pStyle w:val="FootnoteText"/>
      </w:pPr>
      <w:r>
        <w:rPr>
          <w:rStyle w:val="FootnoteReference"/>
        </w:rPr>
        <w:footnoteRef/>
      </w:r>
      <w:r>
        <w:t xml:space="preserve"> ACT </w:t>
      </w:r>
      <w:proofErr w:type="spellStart"/>
      <w:r>
        <w:t>Act</w:t>
      </w:r>
      <w:proofErr w:type="spellEnd"/>
      <w:r>
        <w:t>, section 40D</w:t>
      </w:r>
    </w:p>
  </w:footnote>
  <w:footnote w:id="34">
    <w:p w:rsidR="008D7B45" w:rsidRDefault="008D7B45">
      <w:pPr>
        <w:pStyle w:val="FootnoteText"/>
      </w:pPr>
      <w:r>
        <w:rPr>
          <w:rStyle w:val="FootnoteReference"/>
        </w:rPr>
        <w:footnoteRef/>
      </w:r>
      <w:r>
        <w:t xml:space="preserve"> </w:t>
      </w:r>
      <w:r w:rsidR="00D20C5D">
        <w:t>Young, above, n5</w:t>
      </w:r>
      <w:r w:rsidR="00AF1EB1">
        <w:t xml:space="preserve">, recommendation </w:t>
      </w:r>
      <w:r>
        <w:t>15</w:t>
      </w:r>
    </w:p>
  </w:footnote>
  <w:footnote w:id="35">
    <w:p w:rsidR="00850A82" w:rsidRPr="00D664F4" w:rsidRDefault="00850A82">
      <w:pPr>
        <w:pStyle w:val="FootnoteText"/>
      </w:pPr>
      <w:r>
        <w:rPr>
          <w:rStyle w:val="FootnoteReference"/>
        </w:rPr>
        <w:footnoteRef/>
      </w:r>
      <w:r>
        <w:t xml:space="preserve"> </w:t>
      </w:r>
      <w:r w:rsidRPr="00850A82">
        <w:t>See</w:t>
      </w:r>
      <w:r>
        <w:t xml:space="preserve"> for example, </w:t>
      </w:r>
      <w:r w:rsidR="00E02DDD" w:rsidRPr="00850A82">
        <w:rPr>
          <w:i/>
        </w:rPr>
        <w:t>Human Rights Commission Act 2005</w:t>
      </w:r>
      <w:r w:rsidR="00E02DDD" w:rsidRPr="00850A82">
        <w:t xml:space="preserve"> (ACT)</w:t>
      </w:r>
      <w:r w:rsidR="00D664F4">
        <w:t>,</w:t>
      </w:r>
      <w:r w:rsidR="00E02DDD">
        <w:t xml:space="preserve"> </w:t>
      </w:r>
      <w:r w:rsidRPr="00850A82">
        <w:t xml:space="preserve">Victorian </w:t>
      </w:r>
      <w:r>
        <w:t>Charter</w:t>
      </w:r>
      <w:r w:rsidRPr="00850A82">
        <w:t>, P</w:t>
      </w:r>
      <w:r>
        <w:t>art</w:t>
      </w:r>
      <w:r w:rsidR="00E02DDD">
        <w:t xml:space="preserve"> 4</w:t>
      </w:r>
      <w:r w:rsidR="00D664F4">
        <w:t xml:space="preserve"> and </w:t>
      </w:r>
      <w:r w:rsidR="00D664F4">
        <w:rPr>
          <w:i/>
        </w:rPr>
        <w:t xml:space="preserve">Human Rights Act 1993 </w:t>
      </w:r>
      <w:r w:rsidR="00D664F4">
        <w:t>(NZ), Part 1</w:t>
      </w:r>
    </w:p>
  </w:footnote>
  <w:footnote w:id="36">
    <w:p w:rsidR="00850A82" w:rsidRDefault="00850A82">
      <w:pPr>
        <w:pStyle w:val="FootnoteText"/>
      </w:pPr>
      <w:r>
        <w:rPr>
          <w:rStyle w:val="FootnoteReference"/>
        </w:rPr>
        <w:footnoteRef/>
      </w:r>
      <w:r>
        <w:t xml:space="preserve"> </w:t>
      </w:r>
      <w:r w:rsidR="00D20C5D">
        <w:t>Young, above, n5</w:t>
      </w:r>
      <w:r w:rsidRPr="00850A82">
        <w:t xml:space="preserve">, recommendation 23 </w:t>
      </w:r>
    </w:p>
  </w:footnote>
  <w:footnote w:id="37">
    <w:p w:rsidR="00E02DDD" w:rsidRDefault="00E02DDD">
      <w:pPr>
        <w:pStyle w:val="FootnoteText"/>
      </w:pPr>
      <w:r>
        <w:rPr>
          <w:rStyle w:val="FootnoteReference"/>
        </w:rPr>
        <w:footnoteRef/>
      </w:r>
      <w:r>
        <w:t xml:space="preserve"> </w:t>
      </w:r>
      <w:r w:rsidR="00CF2659">
        <w:t xml:space="preserve">ACT </w:t>
      </w:r>
      <w:proofErr w:type="spellStart"/>
      <w:r w:rsidR="00CF2659">
        <w:t>Act</w:t>
      </w:r>
      <w:proofErr w:type="spellEnd"/>
      <w:r w:rsidR="00CF2659">
        <w:t xml:space="preserve">, Part 6; </w:t>
      </w:r>
      <w:r w:rsidRPr="00850A82">
        <w:t xml:space="preserve">Victorian </w:t>
      </w:r>
      <w:r>
        <w:t>Charter</w:t>
      </w:r>
      <w:r w:rsidRPr="00850A82">
        <w:t xml:space="preserve">, </w:t>
      </w:r>
      <w:r>
        <w:t>Part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36" w:rsidRDefault="00F55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6"/>
      <w:gridCol w:w="2410"/>
    </w:tblGrid>
    <w:tr w:rsidR="004A4D19" w:rsidTr="002073DA">
      <w:trPr>
        <w:trHeight w:hRule="exact" w:val="900"/>
      </w:trPr>
      <w:tc>
        <w:tcPr>
          <w:tcW w:w="6946" w:type="dxa"/>
          <w:vAlign w:val="bottom"/>
        </w:tcPr>
        <w:p w:rsidR="004A4D19" w:rsidRDefault="00A911B6" w:rsidP="001679EE">
          <w:pPr>
            <w:pStyle w:val="HeaderTitle"/>
          </w:pPr>
          <w:r>
            <w:rPr>
              <w:noProof w:val="0"/>
              <w:sz w:val="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Draft_1_1" o:spid="_x0000_s24578" type="#_x0000_t136" style="position:absolute;margin-left:93.55pt;margin-top:136.95pt;width:79.5pt;height:27pt;rotation:330;z-index:-251655168;mso-position-horizontal-relative:page;mso-position-vertical-relative:page" o:allowincell="f" fillcolor="#f90" stroked="f">
                <v:shadow color="#868686"/>
                <v:textpath style="font-family:&quot;Arial&quot;;font-size:24pt;font-weight:bold;v-text-kern:t" trim="t" fitpath="t" string="DRAFT"/>
                <w10:wrap anchorx="page" anchory="page"/>
                <w10:anchorlock/>
              </v:shape>
            </w:pict>
          </w:r>
        </w:p>
      </w:tc>
      <w:tc>
        <w:tcPr>
          <w:tcW w:w="2410" w:type="dxa"/>
          <w:vAlign w:val="bottom"/>
        </w:tcPr>
        <w:p w:rsidR="004A4D19" w:rsidRDefault="004A4D19" w:rsidP="001679EE">
          <w:pPr>
            <w:pStyle w:val="HeaderTitle"/>
            <w:jc w:val="right"/>
          </w:pPr>
          <w:r>
            <w:drawing>
              <wp:inline distT="0" distB="0" distL="0" distR="0" wp14:anchorId="67C11E9E" wp14:editId="76C0885C">
                <wp:extent cx="1442085" cy="132080"/>
                <wp:effectExtent l="0" t="0" r="5715"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4A4D19" w:rsidRPr="002073DA" w:rsidRDefault="004A4D19" w:rsidP="002073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4A4D19" w:rsidRPr="0077043A">
      <w:trPr>
        <w:trHeight w:hRule="exact" w:val="900"/>
      </w:trPr>
      <w:tc>
        <w:tcPr>
          <w:tcW w:w="6946" w:type="dxa"/>
          <w:vAlign w:val="bottom"/>
        </w:tcPr>
        <w:p w:rsidR="004A4D19" w:rsidRDefault="00A911B6" w:rsidP="00861F83">
          <w:pPr>
            <w:pStyle w:val="HeaderTitle"/>
          </w:pPr>
          <w:r>
            <w:rPr>
              <w:noProof w:val="0"/>
              <w:sz w:val="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Draft_1" o:spid="_x0000_s24577" type="#_x0000_t136" style="position:absolute;margin-left:93.55pt;margin-top:136.95pt;width:79.5pt;height:27pt;rotation:330;z-index:-251657216;mso-position-horizontal-relative:page;mso-position-vertical-relative:page" o:allowincell="f" fillcolor="#f90" stroked="f">
                <v:shadow color="#868686"/>
                <v:textpath style="font-family:&quot;Arial&quot;;font-size:24pt;font-weight:bold;v-text-kern:t" trim="t" fitpath="t" string="DRAFT"/>
                <w10:wrap anchorx="page" anchory="page"/>
                <w10:anchorlock/>
              </v:shape>
            </w:pict>
          </w:r>
        </w:p>
      </w:tc>
      <w:tc>
        <w:tcPr>
          <w:tcW w:w="2410" w:type="dxa"/>
          <w:vAlign w:val="bottom"/>
        </w:tcPr>
        <w:p w:rsidR="004A4D19" w:rsidRPr="006A4582" w:rsidRDefault="004A4D19" w:rsidP="00861F83">
          <w:pPr>
            <w:pStyle w:val="HeaderTitle"/>
            <w:jc w:val="right"/>
            <w:rPr>
              <w:rFonts w:ascii="Times New Roman" w:hAnsi="Times New Roman"/>
            </w:rPr>
          </w:pPr>
          <w:r>
            <w:rPr>
              <w:rFonts w:ascii="Times New Roman" w:hAnsi="Times New Roman"/>
            </w:rPr>
            <w:drawing>
              <wp:inline distT="0" distB="0" distL="0" distR="0" wp14:anchorId="533C2004" wp14:editId="44A51730">
                <wp:extent cx="1442085" cy="132080"/>
                <wp:effectExtent l="0" t="0" r="5715" b="1270"/>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4A4D19" w:rsidRPr="00BA71EC" w:rsidRDefault="004A4D19" w:rsidP="00BA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3DC1C0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7F8494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9C83E33"/>
    <w:multiLevelType w:val="hybridMultilevel"/>
    <w:tmpl w:val="C9BA6006"/>
    <w:lvl w:ilvl="0" w:tplc="0C090005">
      <w:start w:val="1"/>
      <w:numFmt w:val="bullet"/>
      <w:lvlText w:val=""/>
      <w:lvlJc w:val="left"/>
      <w:pPr>
        <w:ind w:left="2487" w:hanging="360"/>
      </w:pPr>
      <w:rPr>
        <w:rFonts w:ascii="Wingdings" w:hAnsi="Wingdings"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
    <w:nsid w:val="1DC3709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EF7D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16947C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20C33B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9">
    <w:nsid w:val="3B11364A"/>
    <w:multiLevelType w:val="multilevel"/>
    <w:tmpl w:val="059EC99A"/>
    <w:lvl w:ilvl="0">
      <w:start w:val="1"/>
      <w:numFmt w:val="upperLetter"/>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upperLetter"/>
      <w:lvlText w:val="(%7)"/>
      <w:lvlJc w:val="left"/>
      <w:pPr>
        <w:tabs>
          <w:tab w:val="num" w:pos="2835"/>
        </w:tabs>
        <w:ind w:left="2835" w:hanging="709"/>
      </w:pPr>
      <w:rPr>
        <w:rFonts w:hint="default"/>
      </w:rPr>
    </w:lvl>
    <w:lvl w:ilvl="7">
      <w:start w:val="1"/>
      <w:numFmt w:val="decimal"/>
      <w:lvlText w:val="(%8)"/>
      <w:lvlJc w:val="left"/>
      <w:pPr>
        <w:tabs>
          <w:tab w:val="num" w:pos="3544"/>
        </w:tabs>
        <w:ind w:left="3544" w:hanging="709"/>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CA8400C"/>
    <w:multiLevelType w:val="singleLevel"/>
    <w:tmpl w:val="9CF4EAD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1">
    <w:nsid w:val="3D3719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4">
    <w:nsid w:val="3DB506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nsid w:val="4EB40ABD"/>
    <w:multiLevelType w:val="singleLevel"/>
    <w:tmpl w:val="FD624E60"/>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7">
    <w:nsid w:val="590F6D3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D6C327B"/>
    <w:multiLevelType w:val="hybridMultilevel"/>
    <w:tmpl w:val="C90450D2"/>
    <w:lvl w:ilvl="0" w:tplc="0C090001">
      <w:start w:val="1"/>
      <w:numFmt w:val="bullet"/>
      <w:lvlText w:val=""/>
      <w:lvlJc w:val="left"/>
      <w:pPr>
        <w:ind w:left="1423" w:hanging="360"/>
      </w:pPr>
      <w:rPr>
        <w:rFonts w:ascii="Symbol" w:hAnsi="Symbol" w:hint="default"/>
      </w:rPr>
    </w:lvl>
    <w:lvl w:ilvl="1" w:tplc="0C090003" w:tentative="1">
      <w:start w:val="1"/>
      <w:numFmt w:val="bullet"/>
      <w:lvlText w:val="o"/>
      <w:lvlJc w:val="left"/>
      <w:pPr>
        <w:ind w:left="2143" w:hanging="360"/>
      </w:pPr>
      <w:rPr>
        <w:rFonts w:ascii="Courier New" w:hAnsi="Courier New" w:cs="Courier New" w:hint="default"/>
      </w:rPr>
    </w:lvl>
    <w:lvl w:ilvl="2" w:tplc="0C090005" w:tentative="1">
      <w:start w:val="1"/>
      <w:numFmt w:val="bullet"/>
      <w:lvlText w:val=""/>
      <w:lvlJc w:val="left"/>
      <w:pPr>
        <w:ind w:left="2863" w:hanging="360"/>
      </w:pPr>
      <w:rPr>
        <w:rFonts w:ascii="Wingdings" w:hAnsi="Wingdings" w:hint="default"/>
      </w:rPr>
    </w:lvl>
    <w:lvl w:ilvl="3" w:tplc="0C090001" w:tentative="1">
      <w:start w:val="1"/>
      <w:numFmt w:val="bullet"/>
      <w:lvlText w:val=""/>
      <w:lvlJc w:val="left"/>
      <w:pPr>
        <w:ind w:left="3583" w:hanging="360"/>
      </w:pPr>
      <w:rPr>
        <w:rFonts w:ascii="Symbol" w:hAnsi="Symbol" w:hint="default"/>
      </w:rPr>
    </w:lvl>
    <w:lvl w:ilvl="4" w:tplc="0C090003" w:tentative="1">
      <w:start w:val="1"/>
      <w:numFmt w:val="bullet"/>
      <w:lvlText w:val="o"/>
      <w:lvlJc w:val="left"/>
      <w:pPr>
        <w:ind w:left="4303" w:hanging="360"/>
      </w:pPr>
      <w:rPr>
        <w:rFonts w:ascii="Courier New" w:hAnsi="Courier New" w:cs="Courier New" w:hint="default"/>
      </w:rPr>
    </w:lvl>
    <w:lvl w:ilvl="5" w:tplc="0C090005" w:tentative="1">
      <w:start w:val="1"/>
      <w:numFmt w:val="bullet"/>
      <w:lvlText w:val=""/>
      <w:lvlJc w:val="left"/>
      <w:pPr>
        <w:ind w:left="5023" w:hanging="360"/>
      </w:pPr>
      <w:rPr>
        <w:rFonts w:ascii="Wingdings" w:hAnsi="Wingdings" w:hint="default"/>
      </w:rPr>
    </w:lvl>
    <w:lvl w:ilvl="6" w:tplc="0C090001" w:tentative="1">
      <w:start w:val="1"/>
      <w:numFmt w:val="bullet"/>
      <w:lvlText w:val=""/>
      <w:lvlJc w:val="left"/>
      <w:pPr>
        <w:ind w:left="5743" w:hanging="360"/>
      </w:pPr>
      <w:rPr>
        <w:rFonts w:ascii="Symbol" w:hAnsi="Symbol" w:hint="default"/>
      </w:rPr>
    </w:lvl>
    <w:lvl w:ilvl="7" w:tplc="0C090003" w:tentative="1">
      <w:start w:val="1"/>
      <w:numFmt w:val="bullet"/>
      <w:lvlText w:val="o"/>
      <w:lvlJc w:val="left"/>
      <w:pPr>
        <w:ind w:left="6463" w:hanging="360"/>
      </w:pPr>
      <w:rPr>
        <w:rFonts w:ascii="Courier New" w:hAnsi="Courier New" w:cs="Courier New" w:hint="default"/>
      </w:rPr>
    </w:lvl>
    <w:lvl w:ilvl="8" w:tplc="0C090005" w:tentative="1">
      <w:start w:val="1"/>
      <w:numFmt w:val="bullet"/>
      <w:lvlText w:val=""/>
      <w:lvlJc w:val="left"/>
      <w:pPr>
        <w:ind w:left="7183" w:hanging="360"/>
      </w:pPr>
      <w:rPr>
        <w:rFonts w:ascii="Wingdings" w:hAnsi="Wingdings" w:hint="default"/>
      </w:rPr>
    </w:lvl>
  </w:abstractNum>
  <w:abstractNum w:abstractNumId="19">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1">
    <w:nsid w:val="6F8B68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A8249E"/>
    <w:multiLevelType w:val="singleLevel"/>
    <w:tmpl w:val="D4BA7586"/>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3">
    <w:nsid w:val="7C3E3515"/>
    <w:multiLevelType w:val="singleLevel"/>
    <w:tmpl w:val="0C09000F"/>
    <w:lvl w:ilvl="0">
      <w:start w:val="1"/>
      <w:numFmt w:val="decimal"/>
      <w:lvlText w:val="%1."/>
      <w:lvlJc w:val="left"/>
      <w:pPr>
        <w:tabs>
          <w:tab w:val="num" w:pos="360"/>
        </w:tabs>
        <w:ind w:left="360" w:hanging="360"/>
      </w:pPr>
    </w:lvl>
  </w:abstractNum>
  <w:abstractNum w:abstractNumId="24">
    <w:nsid w:val="7CC848C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0"/>
  </w:num>
  <w:num w:numId="3">
    <w:abstractNumId w:val="16"/>
  </w:num>
  <w:num w:numId="4">
    <w:abstractNumId w:val="8"/>
  </w:num>
  <w:num w:numId="5">
    <w:abstractNumId w:val="20"/>
  </w:num>
  <w:num w:numId="6">
    <w:abstractNumId w:val="13"/>
  </w:num>
  <w:num w:numId="7">
    <w:abstractNumId w:val="9"/>
  </w:num>
  <w:num w:numId="8">
    <w:abstractNumId w:val="19"/>
  </w:num>
  <w:num w:numId="9">
    <w:abstractNumId w:val="0"/>
  </w:num>
  <w:num w:numId="10">
    <w:abstractNumId w:val="12"/>
  </w:num>
  <w:num w:numId="11">
    <w:abstractNumId w:val="15"/>
  </w:num>
  <w:num w:numId="12">
    <w:abstractNumId w:val="23"/>
  </w:num>
  <w:num w:numId="13">
    <w:abstractNumId w:val="17"/>
  </w:num>
  <w:num w:numId="14">
    <w:abstractNumId w:val="1"/>
  </w:num>
  <w:num w:numId="15">
    <w:abstractNumId w:val="14"/>
  </w:num>
  <w:num w:numId="16">
    <w:abstractNumId w:val="11"/>
  </w:num>
  <w:num w:numId="17">
    <w:abstractNumId w:val="4"/>
  </w:num>
  <w:num w:numId="18">
    <w:abstractNumId w:val="21"/>
  </w:num>
  <w:num w:numId="19">
    <w:abstractNumId w:val="7"/>
  </w:num>
  <w:num w:numId="20">
    <w:abstractNumId w:val="2"/>
  </w:num>
  <w:num w:numId="21">
    <w:abstractNumId w:val="24"/>
  </w:num>
  <w:num w:numId="22">
    <w:abstractNumId w:val="5"/>
  </w:num>
  <w:num w:numId="23">
    <w:abstractNumId w:val="6"/>
  </w:num>
  <w:num w:numId="24">
    <w:abstractNumId w:val="12"/>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7">
    <w:abstractNumId w:val="18"/>
  </w:num>
  <w:num w:numId="28">
    <w:abstractNumId w:val="3"/>
  </w:num>
  <w:num w:numId="29">
    <w:abstractNumId w:val="12"/>
  </w:num>
  <w:num w:numId="30">
    <w:abstractNumId w:val="12"/>
  </w:num>
  <w:num w:numId="3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78"/>
    <w:rsid w:val="000002B6"/>
    <w:rsid w:val="00000C11"/>
    <w:rsid w:val="000042E7"/>
    <w:rsid w:val="00006574"/>
    <w:rsid w:val="00006AF3"/>
    <w:rsid w:val="00007CD4"/>
    <w:rsid w:val="00013DCA"/>
    <w:rsid w:val="00014E99"/>
    <w:rsid w:val="000168B7"/>
    <w:rsid w:val="000225A9"/>
    <w:rsid w:val="00022639"/>
    <w:rsid w:val="00023991"/>
    <w:rsid w:val="00023EE7"/>
    <w:rsid w:val="00026FDB"/>
    <w:rsid w:val="00027458"/>
    <w:rsid w:val="00030A0B"/>
    <w:rsid w:val="00030F9C"/>
    <w:rsid w:val="00031ACF"/>
    <w:rsid w:val="000426FD"/>
    <w:rsid w:val="0004403D"/>
    <w:rsid w:val="0004577F"/>
    <w:rsid w:val="00057CAE"/>
    <w:rsid w:val="00064717"/>
    <w:rsid w:val="00064AB5"/>
    <w:rsid w:val="000761B1"/>
    <w:rsid w:val="00076F05"/>
    <w:rsid w:val="00077DF4"/>
    <w:rsid w:val="00080247"/>
    <w:rsid w:val="00081B21"/>
    <w:rsid w:val="00083A8B"/>
    <w:rsid w:val="00085392"/>
    <w:rsid w:val="00085954"/>
    <w:rsid w:val="00086CB7"/>
    <w:rsid w:val="000872BD"/>
    <w:rsid w:val="000964E0"/>
    <w:rsid w:val="00097407"/>
    <w:rsid w:val="000A00CD"/>
    <w:rsid w:val="000A284C"/>
    <w:rsid w:val="000B00AF"/>
    <w:rsid w:val="000B37B8"/>
    <w:rsid w:val="000B78A7"/>
    <w:rsid w:val="000C0CF7"/>
    <w:rsid w:val="000C1537"/>
    <w:rsid w:val="000C712B"/>
    <w:rsid w:val="000D6B47"/>
    <w:rsid w:val="000D7C9F"/>
    <w:rsid w:val="000E34AD"/>
    <w:rsid w:val="000E46B2"/>
    <w:rsid w:val="000F0353"/>
    <w:rsid w:val="000F09C9"/>
    <w:rsid w:val="000F0D5C"/>
    <w:rsid w:val="000F3604"/>
    <w:rsid w:val="0010236D"/>
    <w:rsid w:val="001048C3"/>
    <w:rsid w:val="00104B55"/>
    <w:rsid w:val="00104CA1"/>
    <w:rsid w:val="0010654A"/>
    <w:rsid w:val="0010656C"/>
    <w:rsid w:val="0010725B"/>
    <w:rsid w:val="0011127A"/>
    <w:rsid w:val="00111576"/>
    <w:rsid w:val="00112E3C"/>
    <w:rsid w:val="00113041"/>
    <w:rsid w:val="00114436"/>
    <w:rsid w:val="001150F5"/>
    <w:rsid w:val="00116341"/>
    <w:rsid w:val="00121248"/>
    <w:rsid w:val="001224A0"/>
    <w:rsid w:val="00127AE2"/>
    <w:rsid w:val="00133615"/>
    <w:rsid w:val="00134058"/>
    <w:rsid w:val="00135BF4"/>
    <w:rsid w:val="00143A1E"/>
    <w:rsid w:val="00145742"/>
    <w:rsid w:val="00146179"/>
    <w:rsid w:val="00146955"/>
    <w:rsid w:val="00147476"/>
    <w:rsid w:val="0015241C"/>
    <w:rsid w:val="001543FE"/>
    <w:rsid w:val="001568B7"/>
    <w:rsid w:val="0015748D"/>
    <w:rsid w:val="00160862"/>
    <w:rsid w:val="00160C3E"/>
    <w:rsid w:val="001610F1"/>
    <w:rsid w:val="00162BA8"/>
    <w:rsid w:val="00163C93"/>
    <w:rsid w:val="00164986"/>
    <w:rsid w:val="00165B78"/>
    <w:rsid w:val="001665DC"/>
    <w:rsid w:val="001679EE"/>
    <w:rsid w:val="00174EBE"/>
    <w:rsid w:val="001765C7"/>
    <w:rsid w:val="001812AE"/>
    <w:rsid w:val="00181F30"/>
    <w:rsid w:val="00186C51"/>
    <w:rsid w:val="00190750"/>
    <w:rsid w:val="00191B0F"/>
    <w:rsid w:val="0019401C"/>
    <w:rsid w:val="00196451"/>
    <w:rsid w:val="001A30DE"/>
    <w:rsid w:val="001A5C85"/>
    <w:rsid w:val="001B0185"/>
    <w:rsid w:val="001B2BB5"/>
    <w:rsid w:val="001B6FD2"/>
    <w:rsid w:val="001C0D4B"/>
    <w:rsid w:val="001C1A01"/>
    <w:rsid w:val="001C3BD7"/>
    <w:rsid w:val="001C428F"/>
    <w:rsid w:val="001C4FE1"/>
    <w:rsid w:val="001D0AEB"/>
    <w:rsid w:val="001D40AA"/>
    <w:rsid w:val="001D49A2"/>
    <w:rsid w:val="001D505B"/>
    <w:rsid w:val="001D54D6"/>
    <w:rsid w:val="001E054B"/>
    <w:rsid w:val="001E4B93"/>
    <w:rsid w:val="001E61FA"/>
    <w:rsid w:val="001F07C7"/>
    <w:rsid w:val="001F3C5E"/>
    <w:rsid w:val="001F5B7D"/>
    <w:rsid w:val="001F668B"/>
    <w:rsid w:val="001F700D"/>
    <w:rsid w:val="00200467"/>
    <w:rsid w:val="002013AE"/>
    <w:rsid w:val="0020182A"/>
    <w:rsid w:val="002073DA"/>
    <w:rsid w:val="00213BC9"/>
    <w:rsid w:val="002155D8"/>
    <w:rsid w:val="00216A3B"/>
    <w:rsid w:val="002176A6"/>
    <w:rsid w:val="00221F8C"/>
    <w:rsid w:val="002233BD"/>
    <w:rsid w:val="00226F87"/>
    <w:rsid w:val="0022765A"/>
    <w:rsid w:val="00232372"/>
    <w:rsid w:val="0023614E"/>
    <w:rsid w:val="002369F2"/>
    <w:rsid w:val="00240938"/>
    <w:rsid w:val="00241BF3"/>
    <w:rsid w:val="00242448"/>
    <w:rsid w:val="00242FCF"/>
    <w:rsid w:val="00244D5D"/>
    <w:rsid w:val="0024770F"/>
    <w:rsid w:val="002505D2"/>
    <w:rsid w:val="002510A8"/>
    <w:rsid w:val="00257333"/>
    <w:rsid w:val="00272583"/>
    <w:rsid w:val="00274C90"/>
    <w:rsid w:val="00280B34"/>
    <w:rsid w:val="00281172"/>
    <w:rsid w:val="0028458B"/>
    <w:rsid w:val="002847EB"/>
    <w:rsid w:val="00285C00"/>
    <w:rsid w:val="00287110"/>
    <w:rsid w:val="00291287"/>
    <w:rsid w:val="00292346"/>
    <w:rsid w:val="00293CCA"/>
    <w:rsid w:val="002A079C"/>
    <w:rsid w:val="002A0D59"/>
    <w:rsid w:val="002A2CA5"/>
    <w:rsid w:val="002A67A2"/>
    <w:rsid w:val="002B2BBF"/>
    <w:rsid w:val="002B564A"/>
    <w:rsid w:val="002B76D2"/>
    <w:rsid w:val="002C078A"/>
    <w:rsid w:val="002C1D56"/>
    <w:rsid w:val="002C29BC"/>
    <w:rsid w:val="002D2975"/>
    <w:rsid w:val="002D2F39"/>
    <w:rsid w:val="002D559E"/>
    <w:rsid w:val="002D55B0"/>
    <w:rsid w:val="002D5A4F"/>
    <w:rsid w:val="002E0839"/>
    <w:rsid w:val="002E4D22"/>
    <w:rsid w:val="002E5F1F"/>
    <w:rsid w:val="00303794"/>
    <w:rsid w:val="00304091"/>
    <w:rsid w:val="00306C17"/>
    <w:rsid w:val="00306E78"/>
    <w:rsid w:val="00307009"/>
    <w:rsid w:val="00310F53"/>
    <w:rsid w:val="00314A92"/>
    <w:rsid w:val="003204E9"/>
    <w:rsid w:val="00322F3F"/>
    <w:rsid w:val="003321B6"/>
    <w:rsid w:val="0033472B"/>
    <w:rsid w:val="003348AF"/>
    <w:rsid w:val="003370A5"/>
    <w:rsid w:val="00343866"/>
    <w:rsid w:val="00345B1A"/>
    <w:rsid w:val="00350F90"/>
    <w:rsid w:val="003568F0"/>
    <w:rsid w:val="00363040"/>
    <w:rsid w:val="0036390C"/>
    <w:rsid w:val="00364401"/>
    <w:rsid w:val="00364D22"/>
    <w:rsid w:val="003675DB"/>
    <w:rsid w:val="00370369"/>
    <w:rsid w:val="003739AA"/>
    <w:rsid w:val="0037557D"/>
    <w:rsid w:val="00376CD7"/>
    <w:rsid w:val="00377D42"/>
    <w:rsid w:val="003816BF"/>
    <w:rsid w:val="00382552"/>
    <w:rsid w:val="003826D1"/>
    <w:rsid w:val="00382805"/>
    <w:rsid w:val="0038646D"/>
    <w:rsid w:val="003909DA"/>
    <w:rsid w:val="00390DC4"/>
    <w:rsid w:val="00391DF1"/>
    <w:rsid w:val="003A154A"/>
    <w:rsid w:val="003A4C8F"/>
    <w:rsid w:val="003A5AE0"/>
    <w:rsid w:val="003A77CC"/>
    <w:rsid w:val="003B023B"/>
    <w:rsid w:val="003B3DB9"/>
    <w:rsid w:val="003C1018"/>
    <w:rsid w:val="003C10C7"/>
    <w:rsid w:val="003C23F2"/>
    <w:rsid w:val="003C4216"/>
    <w:rsid w:val="003C64DC"/>
    <w:rsid w:val="003C7214"/>
    <w:rsid w:val="003D124B"/>
    <w:rsid w:val="003D1651"/>
    <w:rsid w:val="003D2F66"/>
    <w:rsid w:val="003D56BF"/>
    <w:rsid w:val="003D5F4B"/>
    <w:rsid w:val="003D7609"/>
    <w:rsid w:val="003E3D69"/>
    <w:rsid w:val="003E554A"/>
    <w:rsid w:val="003E6063"/>
    <w:rsid w:val="003E75F3"/>
    <w:rsid w:val="003F4132"/>
    <w:rsid w:val="004009D8"/>
    <w:rsid w:val="004047C5"/>
    <w:rsid w:val="00404C8D"/>
    <w:rsid w:val="0040662D"/>
    <w:rsid w:val="00410B35"/>
    <w:rsid w:val="00411475"/>
    <w:rsid w:val="00417498"/>
    <w:rsid w:val="0042533F"/>
    <w:rsid w:val="00427F72"/>
    <w:rsid w:val="00430DD7"/>
    <w:rsid w:val="00432CC3"/>
    <w:rsid w:val="00435159"/>
    <w:rsid w:val="0044039E"/>
    <w:rsid w:val="004426CC"/>
    <w:rsid w:val="00450CD1"/>
    <w:rsid w:val="00454FBF"/>
    <w:rsid w:val="00456DAF"/>
    <w:rsid w:val="004610F5"/>
    <w:rsid w:val="004629ED"/>
    <w:rsid w:val="00470ABC"/>
    <w:rsid w:val="00471334"/>
    <w:rsid w:val="0048230E"/>
    <w:rsid w:val="00482968"/>
    <w:rsid w:val="00486CB1"/>
    <w:rsid w:val="004955F7"/>
    <w:rsid w:val="00495ED6"/>
    <w:rsid w:val="004A17AB"/>
    <w:rsid w:val="004A4D19"/>
    <w:rsid w:val="004B2975"/>
    <w:rsid w:val="004B7E46"/>
    <w:rsid w:val="004C3FD5"/>
    <w:rsid w:val="004D375B"/>
    <w:rsid w:val="004D4C66"/>
    <w:rsid w:val="004D5F2A"/>
    <w:rsid w:val="004E03E6"/>
    <w:rsid w:val="004E45AC"/>
    <w:rsid w:val="004E4CB2"/>
    <w:rsid w:val="004E6036"/>
    <w:rsid w:val="004F131C"/>
    <w:rsid w:val="004F2948"/>
    <w:rsid w:val="004F2D25"/>
    <w:rsid w:val="004F4F2E"/>
    <w:rsid w:val="004F564B"/>
    <w:rsid w:val="004F61BF"/>
    <w:rsid w:val="004F7B33"/>
    <w:rsid w:val="00501DE6"/>
    <w:rsid w:val="00507C17"/>
    <w:rsid w:val="0051030B"/>
    <w:rsid w:val="005115EE"/>
    <w:rsid w:val="00511CB3"/>
    <w:rsid w:val="005131C0"/>
    <w:rsid w:val="0051476E"/>
    <w:rsid w:val="005150B5"/>
    <w:rsid w:val="00521355"/>
    <w:rsid w:val="00522035"/>
    <w:rsid w:val="0052236E"/>
    <w:rsid w:val="005241C6"/>
    <w:rsid w:val="00526A34"/>
    <w:rsid w:val="005301B4"/>
    <w:rsid w:val="0053040E"/>
    <w:rsid w:val="00533940"/>
    <w:rsid w:val="00537061"/>
    <w:rsid w:val="00537D19"/>
    <w:rsid w:val="00537E17"/>
    <w:rsid w:val="00540006"/>
    <w:rsid w:val="0054227E"/>
    <w:rsid w:val="00547CD5"/>
    <w:rsid w:val="00560113"/>
    <w:rsid w:val="00562469"/>
    <w:rsid w:val="00563D0B"/>
    <w:rsid w:val="0057560E"/>
    <w:rsid w:val="005810B3"/>
    <w:rsid w:val="00581674"/>
    <w:rsid w:val="00582E7D"/>
    <w:rsid w:val="00587B21"/>
    <w:rsid w:val="005904D1"/>
    <w:rsid w:val="0059455C"/>
    <w:rsid w:val="0059494F"/>
    <w:rsid w:val="005950E3"/>
    <w:rsid w:val="005952C9"/>
    <w:rsid w:val="005956D6"/>
    <w:rsid w:val="00597D5E"/>
    <w:rsid w:val="005A1FD5"/>
    <w:rsid w:val="005A5D9E"/>
    <w:rsid w:val="005A68B3"/>
    <w:rsid w:val="005A7A6A"/>
    <w:rsid w:val="005A7F21"/>
    <w:rsid w:val="005B00C1"/>
    <w:rsid w:val="005B20B4"/>
    <w:rsid w:val="005B316F"/>
    <w:rsid w:val="005B54EA"/>
    <w:rsid w:val="005B5CBD"/>
    <w:rsid w:val="005B6BCD"/>
    <w:rsid w:val="005D5F3B"/>
    <w:rsid w:val="005D60A9"/>
    <w:rsid w:val="005E353F"/>
    <w:rsid w:val="005E5456"/>
    <w:rsid w:val="005E69EA"/>
    <w:rsid w:val="005F0B8C"/>
    <w:rsid w:val="005F6210"/>
    <w:rsid w:val="005F7F56"/>
    <w:rsid w:val="005F7FCD"/>
    <w:rsid w:val="00600762"/>
    <w:rsid w:val="006023E1"/>
    <w:rsid w:val="00603D72"/>
    <w:rsid w:val="00604716"/>
    <w:rsid w:val="00606D87"/>
    <w:rsid w:val="00611CD6"/>
    <w:rsid w:val="006162BA"/>
    <w:rsid w:val="00620BAA"/>
    <w:rsid w:val="006225BA"/>
    <w:rsid w:val="00623A07"/>
    <w:rsid w:val="00624747"/>
    <w:rsid w:val="006266FD"/>
    <w:rsid w:val="00630005"/>
    <w:rsid w:val="006323B6"/>
    <w:rsid w:val="00634B8D"/>
    <w:rsid w:val="00634E9D"/>
    <w:rsid w:val="0063653D"/>
    <w:rsid w:val="00642E83"/>
    <w:rsid w:val="00645BE6"/>
    <w:rsid w:val="00647400"/>
    <w:rsid w:val="0065036B"/>
    <w:rsid w:val="00650C00"/>
    <w:rsid w:val="00652C02"/>
    <w:rsid w:val="00662327"/>
    <w:rsid w:val="00664565"/>
    <w:rsid w:val="00664668"/>
    <w:rsid w:val="00665ED2"/>
    <w:rsid w:val="00666408"/>
    <w:rsid w:val="00667ECD"/>
    <w:rsid w:val="00671E93"/>
    <w:rsid w:val="00672C90"/>
    <w:rsid w:val="00674100"/>
    <w:rsid w:val="00675512"/>
    <w:rsid w:val="00686857"/>
    <w:rsid w:val="00691DA2"/>
    <w:rsid w:val="00692553"/>
    <w:rsid w:val="006966DB"/>
    <w:rsid w:val="00696FEC"/>
    <w:rsid w:val="006A5693"/>
    <w:rsid w:val="006A79E9"/>
    <w:rsid w:val="006B3D9D"/>
    <w:rsid w:val="006B5ACD"/>
    <w:rsid w:val="006B78DB"/>
    <w:rsid w:val="006C7678"/>
    <w:rsid w:val="006C7BCC"/>
    <w:rsid w:val="006E07C1"/>
    <w:rsid w:val="006E6551"/>
    <w:rsid w:val="006E74B7"/>
    <w:rsid w:val="006F71C8"/>
    <w:rsid w:val="00701B06"/>
    <w:rsid w:val="00703B20"/>
    <w:rsid w:val="00704F25"/>
    <w:rsid w:val="00704F78"/>
    <w:rsid w:val="00705095"/>
    <w:rsid w:val="00706D33"/>
    <w:rsid w:val="00717F11"/>
    <w:rsid w:val="00720854"/>
    <w:rsid w:val="00722065"/>
    <w:rsid w:val="00723132"/>
    <w:rsid w:val="00723AD9"/>
    <w:rsid w:val="00723D7A"/>
    <w:rsid w:val="00730D2F"/>
    <w:rsid w:val="00731E1A"/>
    <w:rsid w:val="0073233F"/>
    <w:rsid w:val="00732584"/>
    <w:rsid w:val="007335AA"/>
    <w:rsid w:val="00737E7C"/>
    <w:rsid w:val="00740942"/>
    <w:rsid w:val="007424D8"/>
    <w:rsid w:val="00742ADE"/>
    <w:rsid w:val="007445B8"/>
    <w:rsid w:val="0074528E"/>
    <w:rsid w:val="00754499"/>
    <w:rsid w:val="007567AE"/>
    <w:rsid w:val="00760040"/>
    <w:rsid w:val="00760D48"/>
    <w:rsid w:val="00765C58"/>
    <w:rsid w:val="00773B82"/>
    <w:rsid w:val="00774A46"/>
    <w:rsid w:val="00775704"/>
    <w:rsid w:val="007818A9"/>
    <w:rsid w:val="007818B4"/>
    <w:rsid w:val="00786424"/>
    <w:rsid w:val="00786D97"/>
    <w:rsid w:val="00786F2D"/>
    <w:rsid w:val="00787F71"/>
    <w:rsid w:val="00794CDD"/>
    <w:rsid w:val="007972C6"/>
    <w:rsid w:val="0079772A"/>
    <w:rsid w:val="007A20C1"/>
    <w:rsid w:val="007A21DF"/>
    <w:rsid w:val="007A26E9"/>
    <w:rsid w:val="007A2BAC"/>
    <w:rsid w:val="007A34FA"/>
    <w:rsid w:val="007A36D4"/>
    <w:rsid w:val="007A42D6"/>
    <w:rsid w:val="007A446B"/>
    <w:rsid w:val="007A4887"/>
    <w:rsid w:val="007A4CD5"/>
    <w:rsid w:val="007A6A93"/>
    <w:rsid w:val="007A7234"/>
    <w:rsid w:val="007B0579"/>
    <w:rsid w:val="007B35D1"/>
    <w:rsid w:val="007B4E81"/>
    <w:rsid w:val="007B6AB2"/>
    <w:rsid w:val="007D60C9"/>
    <w:rsid w:val="007D65B7"/>
    <w:rsid w:val="007E4BC3"/>
    <w:rsid w:val="007E5743"/>
    <w:rsid w:val="007F35E3"/>
    <w:rsid w:val="0080116A"/>
    <w:rsid w:val="00803421"/>
    <w:rsid w:val="0080513B"/>
    <w:rsid w:val="008062EE"/>
    <w:rsid w:val="008070AD"/>
    <w:rsid w:val="00812E26"/>
    <w:rsid w:val="0081323F"/>
    <w:rsid w:val="0081664B"/>
    <w:rsid w:val="008170DF"/>
    <w:rsid w:val="00824039"/>
    <w:rsid w:val="00825184"/>
    <w:rsid w:val="00825DF8"/>
    <w:rsid w:val="008328C3"/>
    <w:rsid w:val="0083489B"/>
    <w:rsid w:val="0083751D"/>
    <w:rsid w:val="00842D3B"/>
    <w:rsid w:val="00850A82"/>
    <w:rsid w:val="00852B95"/>
    <w:rsid w:val="0085614F"/>
    <w:rsid w:val="008563ED"/>
    <w:rsid w:val="00860453"/>
    <w:rsid w:val="0086189C"/>
    <w:rsid w:val="00861F83"/>
    <w:rsid w:val="00865469"/>
    <w:rsid w:val="00865982"/>
    <w:rsid w:val="00867706"/>
    <w:rsid w:val="00870300"/>
    <w:rsid w:val="00870BE4"/>
    <w:rsid w:val="0087121B"/>
    <w:rsid w:val="00871A5B"/>
    <w:rsid w:val="00873ABC"/>
    <w:rsid w:val="008745AF"/>
    <w:rsid w:val="00874765"/>
    <w:rsid w:val="0087552F"/>
    <w:rsid w:val="0088133B"/>
    <w:rsid w:val="00891166"/>
    <w:rsid w:val="00894035"/>
    <w:rsid w:val="008955CF"/>
    <w:rsid w:val="00895A6F"/>
    <w:rsid w:val="008960D6"/>
    <w:rsid w:val="008966CE"/>
    <w:rsid w:val="00897B7D"/>
    <w:rsid w:val="008A64E2"/>
    <w:rsid w:val="008A6E15"/>
    <w:rsid w:val="008A7199"/>
    <w:rsid w:val="008B5708"/>
    <w:rsid w:val="008B6E37"/>
    <w:rsid w:val="008B7441"/>
    <w:rsid w:val="008C2474"/>
    <w:rsid w:val="008C2E9A"/>
    <w:rsid w:val="008C574C"/>
    <w:rsid w:val="008C66A2"/>
    <w:rsid w:val="008D367D"/>
    <w:rsid w:val="008D3941"/>
    <w:rsid w:val="008D3D51"/>
    <w:rsid w:val="008D42CC"/>
    <w:rsid w:val="008D47F7"/>
    <w:rsid w:val="008D55E9"/>
    <w:rsid w:val="008D5664"/>
    <w:rsid w:val="008D75E5"/>
    <w:rsid w:val="008D7B45"/>
    <w:rsid w:val="008E170B"/>
    <w:rsid w:val="008E27D2"/>
    <w:rsid w:val="008E3667"/>
    <w:rsid w:val="008E3FF2"/>
    <w:rsid w:val="008F1F42"/>
    <w:rsid w:val="008F401F"/>
    <w:rsid w:val="008F6890"/>
    <w:rsid w:val="008F6EA2"/>
    <w:rsid w:val="008F7A48"/>
    <w:rsid w:val="0090065E"/>
    <w:rsid w:val="00900B87"/>
    <w:rsid w:val="00900D0B"/>
    <w:rsid w:val="00903E32"/>
    <w:rsid w:val="009040E3"/>
    <w:rsid w:val="009041D0"/>
    <w:rsid w:val="00904A8C"/>
    <w:rsid w:val="009062CD"/>
    <w:rsid w:val="009077BA"/>
    <w:rsid w:val="00911B19"/>
    <w:rsid w:val="00912B29"/>
    <w:rsid w:val="009132C7"/>
    <w:rsid w:val="00915859"/>
    <w:rsid w:val="00916890"/>
    <w:rsid w:val="00922111"/>
    <w:rsid w:val="00927E35"/>
    <w:rsid w:val="00930527"/>
    <w:rsid w:val="009308B8"/>
    <w:rsid w:val="009319C5"/>
    <w:rsid w:val="009346FE"/>
    <w:rsid w:val="00935C37"/>
    <w:rsid w:val="00940BB3"/>
    <w:rsid w:val="0094123B"/>
    <w:rsid w:val="009415D0"/>
    <w:rsid w:val="00941F7E"/>
    <w:rsid w:val="00953EAE"/>
    <w:rsid w:val="00955DF7"/>
    <w:rsid w:val="00963787"/>
    <w:rsid w:val="009645BE"/>
    <w:rsid w:val="00971979"/>
    <w:rsid w:val="0097252E"/>
    <w:rsid w:val="00974FD7"/>
    <w:rsid w:val="00975767"/>
    <w:rsid w:val="009764D7"/>
    <w:rsid w:val="0097674F"/>
    <w:rsid w:val="00976E40"/>
    <w:rsid w:val="00977038"/>
    <w:rsid w:val="00983EE9"/>
    <w:rsid w:val="00986A57"/>
    <w:rsid w:val="009916E5"/>
    <w:rsid w:val="00993FC3"/>
    <w:rsid w:val="009971BD"/>
    <w:rsid w:val="009A2D0D"/>
    <w:rsid w:val="009A7473"/>
    <w:rsid w:val="009A78D4"/>
    <w:rsid w:val="009B0097"/>
    <w:rsid w:val="009B045C"/>
    <w:rsid w:val="009B17BB"/>
    <w:rsid w:val="009C0676"/>
    <w:rsid w:val="009C4C34"/>
    <w:rsid w:val="009D04C0"/>
    <w:rsid w:val="009D0648"/>
    <w:rsid w:val="009D2385"/>
    <w:rsid w:val="009D33FF"/>
    <w:rsid w:val="009D47DE"/>
    <w:rsid w:val="009E24E8"/>
    <w:rsid w:val="009E4DC3"/>
    <w:rsid w:val="009E68FA"/>
    <w:rsid w:val="009E6C1B"/>
    <w:rsid w:val="009F03F8"/>
    <w:rsid w:val="009F0F62"/>
    <w:rsid w:val="009F4159"/>
    <w:rsid w:val="009F4F2C"/>
    <w:rsid w:val="009F683D"/>
    <w:rsid w:val="00A001C8"/>
    <w:rsid w:val="00A00317"/>
    <w:rsid w:val="00A027D3"/>
    <w:rsid w:val="00A03255"/>
    <w:rsid w:val="00A14763"/>
    <w:rsid w:val="00A14E29"/>
    <w:rsid w:val="00A16270"/>
    <w:rsid w:val="00A16740"/>
    <w:rsid w:val="00A21141"/>
    <w:rsid w:val="00A22863"/>
    <w:rsid w:val="00A37061"/>
    <w:rsid w:val="00A40445"/>
    <w:rsid w:val="00A41D09"/>
    <w:rsid w:val="00A45F14"/>
    <w:rsid w:val="00A470B9"/>
    <w:rsid w:val="00A51B7E"/>
    <w:rsid w:val="00A55D56"/>
    <w:rsid w:val="00A5679E"/>
    <w:rsid w:val="00A6278A"/>
    <w:rsid w:val="00A6306D"/>
    <w:rsid w:val="00A63997"/>
    <w:rsid w:val="00A6501D"/>
    <w:rsid w:val="00A7432B"/>
    <w:rsid w:val="00A84DFF"/>
    <w:rsid w:val="00A84EE9"/>
    <w:rsid w:val="00A8668D"/>
    <w:rsid w:val="00A87801"/>
    <w:rsid w:val="00A911B6"/>
    <w:rsid w:val="00A91328"/>
    <w:rsid w:val="00A91BAE"/>
    <w:rsid w:val="00A926A5"/>
    <w:rsid w:val="00A95CE1"/>
    <w:rsid w:val="00A96081"/>
    <w:rsid w:val="00AA7593"/>
    <w:rsid w:val="00AA7936"/>
    <w:rsid w:val="00AB1ED0"/>
    <w:rsid w:val="00AB7269"/>
    <w:rsid w:val="00AC3AFF"/>
    <w:rsid w:val="00AC5382"/>
    <w:rsid w:val="00AC7111"/>
    <w:rsid w:val="00AD23E5"/>
    <w:rsid w:val="00AD772E"/>
    <w:rsid w:val="00AE01CC"/>
    <w:rsid w:val="00AE10DF"/>
    <w:rsid w:val="00AE14A9"/>
    <w:rsid w:val="00AE2EB0"/>
    <w:rsid w:val="00AE3357"/>
    <w:rsid w:val="00AE676B"/>
    <w:rsid w:val="00AE6B75"/>
    <w:rsid w:val="00AF1EB1"/>
    <w:rsid w:val="00B01333"/>
    <w:rsid w:val="00B05FEB"/>
    <w:rsid w:val="00B06CF4"/>
    <w:rsid w:val="00B0726F"/>
    <w:rsid w:val="00B16BE6"/>
    <w:rsid w:val="00B20026"/>
    <w:rsid w:val="00B21052"/>
    <w:rsid w:val="00B219C1"/>
    <w:rsid w:val="00B225CA"/>
    <w:rsid w:val="00B22A4C"/>
    <w:rsid w:val="00B25B41"/>
    <w:rsid w:val="00B26469"/>
    <w:rsid w:val="00B27732"/>
    <w:rsid w:val="00B324B0"/>
    <w:rsid w:val="00B33868"/>
    <w:rsid w:val="00B36DFC"/>
    <w:rsid w:val="00B37615"/>
    <w:rsid w:val="00B40B97"/>
    <w:rsid w:val="00B426B9"/>
    <w:rsid w:val="00B43BB2"/>
    <w:rsid w:val="00B44806"/>
    <w:rsid w:val="00B46501"/>
    <w:rsid w:val="00B46DE8"/>
    <w:rsid w:val="00B474AC"/>
    <w:rsid w:val="00B50477"/>
    <w:rsid w:val="00B53338"/>
    <w:rsid w:val="00B54783"/>
    <w:rsid w:val="00B553E5"/>
    <w:rsid w:val="00B561A5"/>
    <w:rsid w:val="00B605B4"/>
    <w:rsid w:val="00B613B7"/>
    <w:rsid w:val="00B70E60"/>
    <w:rsid w:val="00B7285A"/>
    <w:rsid w:val="00B7302D"/>
    <w:rsid w:val="00B75A33"/>
    <w:rsid w:val="00B768A4"/>
    <w:rsid w:val="00B76A08"/>
    <w:rsid w:val="00B81835"/>
    <w:rsid w:val="00B82789"/>
    <w:rsid w:val="00B86097"/>
    <w:rsid w:val="00B94250"/>
    <w:rsid w:val="00B95FA4"/>
    <w:rsid w:val="00B97119"/>
    <w:rsid w:val="00BA0357"/>
    <w:rsid w:val="00BA71EC"/>
    <w:rsid w:val="00BA78BC"/>
    <w:rsid w:val="00BA7C4E"/>
    <w:rsid w:val="00BB034D"/>
    <w:rsid w:val="00BB4C0F"/>
    <w:rsid w:val="00BB735E"/>
    <w:rsid w:val="00BC2F9B"/>
    <w:rsid w:val="00BC662F"/>
    <w:rsid w:val="00BD0ABB"/>
    <w:rsid w:val="00BD316E"/>
    <w:rsid w:val="00BD5810"/>
    <w:rsid w:val="00BE2EDA"/>
    <w:rsid w:val="00BE45D7"/>
    <w:rsid w:val="00BE6E43"/>
    <w:rsid w:val="00BF208C"/>
    <w:rsid w:val="00BF47C5"/>
    <w:rsid w:val="00BF6C39"/>
    <w:rsid w:val="00C0179F"/>
    <w:rsid w:val="00C14616"/>
    <w:rsid w:val="00C148B8"/>
    <w:rsid w:val="00C1707E"/>
    <w:rsid w:val="00C1730B"/>
    <w:rsid w:val="00C17489"/>
    <w:rsid w:val="00C212D9"/>
    <w:rsid w:val="00C2169A"/>
    <w:rsid w:val="00C23A1B"/>
    <w:rsid w:val="00C32004"/>
    <w:rsid w:val="00C37436"/>
    <w:rsid w:val="00C374FD"/>
    <w:rsid w:val="00C3795C"/>
    <w:rsid w:val="00C4115D"/>
    <w:rsid w:val="00C43BF7"/>
    <w:rsid w:val="00C46C5B"/>
    <w:rsid w:val="00C5198C"/>
    <w:rsid w:val="00C559E5"/>
    <w:rsid w:val="00C6256B"/>
    <w:rsid w:val="00C63459"/>
    <w:rsid w:val="00C65E87"/>
    <w:rsid w:val="00C665A8"/>
    <w:rsid w:val="00C6752E"/>
    <w:rsid w:val="00C67FD8"/>
    <w:rsid w:val="00C70F28"/>
    <w:rsid w:val="00C7299C"/>
    <w:rsid w:val="00C72DF3"/>
    <w:rsid w:val="00C7351A"/>
    <w:rsid w:val="00C73593"/>
    <w:rsid w:val="00C740CE"/>
    <w:rsid w:val="00C744E4"/>
    <w:rsid w:val="00C7521D"/>
    <w:rsid w:val="00C77CD0"/>
    <w:rsid w:val="00C82D4D"/>
    <w:rsid w:val="00C86C66"/>
    <w:rsid w:val="00C93484"/>
    <w:rsid w:val="00C93693"/>
    <w:rsid w:val="00C958C6"/>
    <w:rsid w:val="00C961D4"/>
    <w:rsid w:val="00C96590"/>
    <w:rsid w:val="00C96BC4"/>
    <w:rsid w:val="00C9745E"/>
    <w:rsid w:val="00CC0F05"/>
    <w:rsid w:val="00CC1D13"/>
    <w:rsid w:val="00CC1F4B"/>
    <w:rsid w:val="00CC5EC1"/>
    <w:rsid w:val="00CC7742"/>
    <w:rsid w:val="00CD0B58"/>
    <w:rsid w:val="00CD5F10"/>
    <w:rsid w:val="00CE15F2"/>
    <w:rsid w:val="00CE2587"/>
    <w:rsid w:val="00CE4FEC"/>
    <w:rsid w:val="00CE6996"/>
    <w:rsid w:val="00CF2659"/>
    <w:rsid w:val="00CF44AE"/>
    <w:rsid w:val="00CF5090"/>
    <w:rsid w:val="00CF6D18"/>
    <w:rsid w:val="00CF6DC0"/>
    <w:rsid w:val="00D04D02"/>
    <w:rsid w:val="00D04DE7"/>
    <w:rsid w:val="00D078C6"/>
    <w:rsid w:val="00D12174"/>
    <w:rsid w:val="00D1511D"/>
    <w:rsid w:val="00D16752"/>
    <w:rsid w:val="00D20C5D"/>
    <w:rsid w:val="00D21E88"/>
    <w:rsid w:val="00D23D27"/>
    <w:rsid w:val="00D25119"/>
    <w:rsid w:val="00D40A16"/>
    <w:rsid w:val="00D43FB4"/>
    <w:rsid w:val="00D443D5"/>
    <w:rsid w:val="00D444F6"/>
    <w:rsid w:val="00D445D5"/>
    <w:rsid w:val="00D458E8"/>
    <w:rsid w:val="00D47226"/>
    <w:rsid w:val="00D538FC"/>
    <w:rsid w:val="00D53E49"/>
    <w:rsid w:val="00D55A56"/>
    <w:rsid w:val="00D55AFB"/>
    <w:rsid w:val="00D64292"/>
    <w:rsid w:val="00D6474A"/>
    <w:rsid w:val="00D663E3"/>
    <w:rsid w:val="00D664F4"/>
    <w:rsid w:val="00D670CA"/>
    <w:rsid w:val="00D671A6"/>
    <w:rsid w:val="00D7068F"/>
    <w:rsid w:val="00D71834"/>
    <w:rsid w:val="00D728EF"/>
    <w:rsid w:val="00D743A2"/>
    <w:rsid w:val="00D81206"/>
    <w:rsid w:val="00D81846"/>
    <w:rsid w:val="00D82319"/>
    <w:rsid w:val="00D831B4"/>
    <w:rsid w:val="00D844F6"/>
    <w:rsid w:val="00D8668F"/>
    <w:rsid w:val="00D868BE"/>
    <w:rsid w:val="00D9032A"/>
    <w:rsid w:val="00D96299"/>
    <w:rsid w:val="00D978B7"/>
    <w:rsid w:val="00DA11E9"/>
    <w:rsid w:val="00DA381B"/>
    <w:rsid w:val="00DB740E"/>
    <w:rsid w:val="00DC28FF"/>
    <w:rsid w:val="00DC50F8"/>
    <w:rsid w:val="00DC59F0"/>
    <w:rsid w:val="00DC6142"/>
    <w:rsid w:val="00DC6BA6"/>
    <w:rsid w:val="00DD045D"/>
    <w:rsid w:val="00DD0E8A"/>
    <w:rsid w:val="00DD3B00"/>
    <w:rsid w:val="00DD60F1"/>
    <w:rsid w:val="00DD69BD"/>
    <w:rsid w:val="00DD6D6B"/>
    <w:rsid w:val="00DE122D"/>
    <w:rsid w:val="00DE154D"/>
    <w:rsid w:val="00DE723C"/>
    <w:rsid w:val="00DF6726"/>
    <w:rsid w:val="00DF79B0"/>
    <w:rsid w:val="00E02AD8"/>
    <w:rsid w:val="00E02DDD"/>
    <w:rsid w:val="00E048F1"/>
    <w:rsid w:val="00E07E51"/>
    <w:rsid w:val="00E119AC"/>
    <w:rsid w:val="00E13379"/>
    <w:rsid w:val="00E15C47"/>
    <w:rsid w:val="00E162E3"/>
    <w:rsid w:val="00E20D9A"/>
    <w:rsid w:val="00E25D34"/>
    <w:rsid w:val="00E35329"/>
    <w:rsid w:val="00E35994"/>
    <w:rsid w:val="00E3756B"/>
    <w:rsid w:val="00E45157"/>
    <w:rsid w:val="00E46FB9"/>
    <w:rsid w:val="00E55BE5"/>
    <w:rsid w:val="00E574C4"/>
    <w:rsid w:val="00E57AA6"/>
    <w:rsid w:val="00E60AA3"/>
    <w:rsid w:val="00E627D4"/>
    <w:rsid w:val="00E62FC6"/>
    <w:rsid w:val="00E64215"/>
    <w:rsid w:val="00E64A70"/>
    <w:rsid w:val="00E65165"/>
    <w:rsid w:val="00E65AF4"/>
    <w:rsid w:val="00E65E0F"/>
    <w:rsid w:val="00E70B0B"/>
    <w:rsid w:val="00E76AC5"/>
    <w:rsid w:val="00E810B2"/>
    <w:rsid w:val="00E826EC"/>
    <w:rsid w:val="00E926EE"/>
    <w:rsid w:val="00E92AF8"/>
    <w:rsid w:val="00E94F72"/>
    <w:rsid w:val="00E96320"/>
    <w:rsid w:val="00EA17FB"/>
    <w:rsid w:val="00EA45FB"/>
    <w:rsid w:val="00EA4654"/>
    <w:rsid w:val="00EA5E72"/>
    <w:rsid w:val="00EB01E4"/>
    <w:rsid w:val="00EB5BF9"/>
    <w:rsid w:val="00EB7A6A"/>
    <w:rsid w:val="00EC0888"/>
    <w:rsid w:val="00ED0204"/>
    <w:rsid w:val="00ED0A33"/>
    <w:rsid w:val="00ED0BCD"/>
    <w:rsid w:val="00ED1CE8"/>
    <w:rsid w:val="00ED2352"/>
    <w:rsid w:val="00ED2DF2"/>
    <w:rsid w:val="00ED3122"/>
    <w:rsid w:val="00ED6310"/>
    <w:rsid w:val="00EE1844"/>
    <w:rsid w:val="00EE4320"/>
    <w:rsid w:val="00EE5946"/>
    <w:rsid w:val="00EE63FD"/>
    <w:rsid w:val="00EE7103"/>
    <w:rsid w:val="00EE723F"/>
    <w:rsid w:val="00EF1D6A"/>
    <w:rsid w:val="00EF7F7B"/>
    <w:rsid w:val="00F022BF"/>
    <w:rsid w:val="00F03A13"/>
    <w:rsid w:val="00F0445F"/>
    <w:rsid w:val="00F10963"/>
    <w:rsid w:val="00F1223A"/>
    <w:rsid w:val="00F15C00"/>
    <w:rsid w:val="00F21166"/>
    <w:rsid w:val="00F21E25"/>
    <w:rsid w:val="00F22096"/>
    <w:rsid w:val="00F2379A"/>
    <w:rsid w:val="00F24623"/>
    <w:rsid w:val="00F25A0F"/>
    <w:rsid w:val="00F326F6"/>
    <w:rsid w:val="00F33F44"/>
    <w:rsid w:val="00F36CAD"/>
    <w:rsid w:val="00F40D8B"/>
    <w:rsid w:val="00F41C2A"/>
    <w:rsid w:val="00F42996"/>
    <w:rsid w:val="00F44155"/>
    <w:rsid w:val="00F44E29"/>
    <w:rsid w:val="00F44E4D"/>
    <w:rsid w:val="00F532A8"/>
    <w:rsid w:val="00F55E36"/>
    <w:rsid w:val="00F673CE"/>
    <w:rsid w:val="00F70FA2"/>
    <w:rsid w:val="00F7260C"/>
    <w:rsid w:val="00F7351E"/>
    <w:rsid w:val="00F74A3F"/>
    <w:rsid w:val="00F75A48"/>
    <w:rsid w:val="00F77041"/>
    <w:rsid w:val="00F80C50"/>
    <w:rsid w:val="00F85970"/>
    <w:rsid w:val="00F8600C"/>
    <w:rsid w:val="00F868F0"/>
    <w:rsid w:val="00F9037D"/>
    <w:rsid w:val="00F90F5B"/>
    <w:rsid w:val="00F917DE"/>
    <w:rsid w:val="00F923AA"/>
    <w:rsid w:val="00F93E77"/>
    <w:rsid w:val="00F94327"/>
    <w:rsid w:val="00F945BD"/>
    <w:rsid w:val="00F95620"/>
    <w:rsid w:val="00F957C5"/>
    <w:rsid w:val="00F96FF7"/>
    <w:rsid w:val="00FA1392"/>
    <w:rsid w:val="00FA6A46"/>
    <w:rsid w:val="00FA7103"/>
    <w:rsid w:val="00FA714D"/>
    <w:rsid w:val="00FA7768"/>
    <w:rsid w:val="00FB10D2"/>
    <w:rsid w:val="00FB2C3A"/>
    <w:rsid w:val="00FB4C91"/>
    <w:rsid w:val="00FB7CC0"/>
    <w:rsid w:val="00FC0F50"/>
    <w:rsid w:val="00FC2209"/>
    <w:rsid w:val="00FC3584"/>
    <w:rsid w:val="00FC4BD9"/>
    <w:rsid w:val="00FD0108"/>
    <w:rsid w:val="00FE29B6"/>
    <w:rsid w:val="00FE5AC8"/>
    <w:rsid w:val="00FE6863"/>
    <w:rsid w:val="00FE6937"/>
    <w:rsid w:val="00FE714E"/>
    <w:rsid w:val="00FE79E0"/>
    <w:rsid w:val="00FF0283"/>
    <w:rsid w:val="00FF0E42"/>
    <w:rsid w:val="00FF2CB5"/>
    <w:rsid w:val="00FF450E"/>
    <w:rsid w:val="00FF61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toc 1" w:uiPriority="39" w:qFormat="1"/>
    <w:lsdException w:name="toc 2" w:uiPriority="39" w:qFormat="1"/>
    <w:lsdException w:name="Normal Indent" w:qFormat="1"/>
    <w:lsdException w:name="footer" w:qFormat="1"/>
    <w:lsdException w:name="caption" w:semiHidden="1"/>
    <w:lsdException w:name="page number" w:qFormat="1"/>
    <w:lsdException w:name="Title" w:qFormat="1"/>
    <w:lsdException w:name="Body Text" w:qFormat="1"/>
    <w:lsdException w:name="Body Text Indent"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qFormat/>
    <w:rsid w:val="00EA5E72"/>
    <w:pPr>
      <w:spacing w:before="100" w:line="288" w:lineRule="auto"/>
    </w:pPr>
  </w:style>
  <w:style w:type="paragraph" w:styleId="Heading1">
    <w:name w:val="heading 1"/>
    <w:basedOn w:val="Normal"/>
    <w:next w:val="Normal"/>
    <w:semiHidden/>
    <w:pPr>
      <w:outlineLvl w:val="0"/>
    </w:pPr>
  </w:style>
  <w:style w:type="paragraph" w:styleId="Heading2">
    <w:name w:val="heading 2"/>
    <w:basedOn w:val="Normal"/>
    <w:next w:val="NormalIndent"/>
    <w:semiHidden/>
    <w:pPr>
      <w:outlineLvl w:val="1"/>
    </w:pPr>
  </w:style>
  <w:style w:type="paragraph" w:styleId="Heading3">
    <w:name w:val="heading 3"/>
    <w:basedOn w:val="Normal"/>
    <w:semiHidden/>
    <w:pPr>
      <w:outlineLvl w:val="2"/>
    </w:pPr>
  </w:style>
  <w:style w:type="paragraph" w:styleId="Heading4">
    <w:name w:val="heading 4"/>
    <w:basedOn w:val="Normal"/>
    <w:semiHidden/>
    <w:pPr>
      <w:outlineLvl w:val="3"/>
    </w:pPr>
  </w:style>
  <w:style w:type="paragraph" w:styleId="Heading5">
    <w:name w:val="heading 5"/>
    <w:basedOn w:val="Normal"/>
    <w:semiHidden/>
    <w:pPr>
      <w:outlineLvl w:val="4"/>
    </w:pPr>
  </w:style>
  <w:style w:type="paragraph" w:styleId="Heading6">
    <w:name w:val="heading 6"/>
    <w:basedOn w:val="Normal"/>
    <w:semiHidden/>
    <w:pPr>
      <w:outlineLvl w:val="5"/>
    </w:pPr>
  </w:style>
  <w:style w:type="paragraph" w:styleId="Heading7">
    <w:name w:val="heading 7"/>
    <w:basedOn w:val="Normal"/>
    <w:next w:val="Normal"/>
    <w:semiHidden/>
    <w:pPr>
      <w:outlineLvl w:val="6"/>
    </w:pPr>
  </w:style>
  <w:style w:type="paragraph" w:styleId="Heading8">
    <w:name w:val="heading 8"/>
    <w:basedOn w:val="Normal"/>
    <w:next w:val="Normal"/>
    <w:semiHidden/>
    <w:pPr>
      <w:outlineLvl w:val="7"/>
    </w:pPr>
  </w:style>
  <w:style w:type="paragraph" w:styleId="Heading9">
    <w:name w:val="heading 9"/>
    <w:basedOn w:val="Normal"/>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pPr>
      <w:spacing w:before="0" w:line="240" w:lineRule="auto"/>
    </w:pPr>
  </w:style>
  <w:style w:type="paragraph" w:styleId="BodyTextIndent">
    <w:name w:val="Body Text Indent"/>
    <w:basedOn w:val="BodyText"/>
    <w:qFormat/>
    <w:pPr>
      <w:ind w:left="709"/>
    </w:pPr>
  </w:style>
  <w:style w:type="paragraph" w:customStyle="1" w:styleId="Bullet1">
    <w:name w:val="Bullet 1"/>
    <w:basedOn w:val="Normal"/>
    <w:qFormat/>
    <w:pPr>
      <w:numPr>
        <w:numId w:val="1"/>
      </w:numPr>
    </w:pPr>
  </w:style>
  <w:style w:type="paragraph" w:customStyle="1" w:styleId="Bullet2">
    <w:name w:val="Bullet 2"/>
    <w:basedOn w:val="Normal"/>
    <w:qFormat/>
    <w:pPr>
      <w:numPr>
        <w:numId w:val="2"/>
      </w:numPr>
    </w:pPr>
  </w:style>
  <w:style w:type="paragraph" w:customStyle="1" w:styleId="Bullet3">
    <w:name w:val="Bullet 3"/>
    <w:basedOn w:val="Normal"/>
    <w:qFormat/>
    <w:pPr>
      <w:numPr>
        <w:numId w:val="3"/>
      </w:numPr>
    </w:pPr>
  </w:style>
  <w:style w:type="paragraph" w:styleId="Footer">
    <w:name w:val="footer"/>
    <w:basedOn w:val="Normal"/>
    <w:qFormat/>
    <w:pPr>
      <w:spacing w:before="40" w:line="240" w:lineRule="auto"/>
    </w:pPr>
    <w:rPr>
      <w:noProof/>
      <w:sz w:val="16"/>
    </w:rPr>
  </w:style>
  <w:style w:type="paragraph" w:customStyle="1" w:styleId="Definitions">
    <w:name w:val="Definitions"/>
    <w:basedOn w:val="NormalIndent"/>
    <w:qFormat/>
    <w:rsid w:val="00774A46"/>
    <w:pPr>
      <w:numPr>
        <w:numId w:val="11"/>
      </w:numPr>
      <w:ind w:left="709" w:firstLine="0"/>
    </w:pPr>
  </w:style>
  <w:style w:type="paragraph" w:customStyle="1" w:styleId="GNHeading">
    <w:name w:val="GN Heading"/>
    <w:basedOn w:val="Normal"/>
    <w:next w:val="GNNormalIndent"/>
    <w:uiPriority w:val="1"/>
    <w:qFormat/>
    <w:rsid w:val="008F401F"/>
    <w:pPr>
      <w:keepNext/>
      <w:numPr>
        <w:numId w:val="8"/>
      </w:numPr>
      <w:spacing w:before="200" w:line="240" w:lineRule="auto"/>
    </w:pPr>
    <w:rPr>
      <w:b/>
      <w:vanish/>
      <w:color w:val="000080"/>
    </w:rPr>
  </w:style>
  <w:style w:type="paragraph" w:customStyle="1" w:styleId="GNNormalIndent">
    <w:name w:val="GN Normal Indent"/>
    <w:basedOn w:val="GNNormal"/>
    <w:uiPriority w:val="1"/>
    <w:qFormat/>
    <w:pPr>
      <w:ind w:left="709"/>
    </w:pPr>
  </w:style>
  <w:style w:type="paragraph" w:customStyle="1" w:styleId="GNNormal">
    <w:name w:val="GN Normal"/>
    <w:basedOn w:val="Normal"/>
    <w:uiPriority w:val="1"/>
    <w:qFormat/>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semiHidden/>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1"/>
      </w:numPr>
    </w:pPr>
  </w:style>
  <w:style w:type="paragraph" w:customStyle="1" w:styleId="level1">
    <w:name w:val="level1"/>
    <w:basedOn w:val="Normal"/>
    <w:qFormat/>
    <w:rsid w:val="008F401F"/>
    <w:pPr>
      <w:numPr>
        <w:numId w:val="9"/>
      </w:numPr>
    </w:pPr>
  </w:style>
  <w:style w:type="paragraph" w:customStyle="1" w:styleId="level2">
    <w:name w:val="level2"/>
    <w:basedOn w:val="Normal"/>
    <w:qFormat/>
    <w:pPr>
      <w:numPr>
        <w:ilvl w:val="1"/>
        <w:numId w:val="9"/>
      </w:numPr>
    </w:pPr>
  </w:style>
  <w:style w:type="paragraph" w:customStyle="1" w:styleId="level3">
    <w:name w:val="level3"/>
    <w:basedOn w:val="Normal"/>
    <w:qFormat/>
    <w:pPr>
      <w:numPr>
        <w:ilvl w:val="2"/>
        <w:numId w:val="9"/>
      </w:numPr>
    </w:pPr>
  </w:style>
  <w:style w:type="paragraph" w:customStyle="1" w:styleId="level4">
    <w:name w:val="level4"/>
    <w:basedOn w:val="Normal"/>
    <w:qFormat/>
    <w:pPr>
      <w:numPr>
        <w:ilvl w:val="3"/>
        <w:numId w:val="9"/>
      </w:numPr>
    </w:pPr>
  </w:style>
  <w:style w:type="paragraph" w:customStyle="1" w:styleId="level5">
    <w:name w:val="level5"/>
    <w:basedOn w:val="Normal"/>
    <w:qFormat/>
    <w:pPr>
      <w:numPr>
        <w:ilvl w:val="4"/>
        <w:numId w:val="9"/>
      </w:numPr>
    </w:pPr>
  </w:style>
  <w:style w:type="paragraph" w:customStyle="1" w:styleId="level6">
    <w:name w:val="level6"/>
    <w:basedOn w:val="Normal"/>
    <w:qFormat/>
    <w:pPr>
      <w:numPr>
        <w:ilvl w:val="5"/>
        <w:numId w:val="9"/>
      </w:numPr>
    </w:pPr>
  </w:style>
  <w:style w:type="character" w:styleId="PageNumber">
    <w:name w:val="page number"/>
    <w:semiHidden/>
    <w:qFormat/>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1"/>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10"/>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10"/>
      </w:numPr>
      <w:spacing w:before="160"/>
      <w:outlineLvl w:val="1"/>
    </w:pPr>
    <w:rPr>
      <w:b/>
      <w:sz w:val="21"/>
    </w:rPr>
  </w:style>
  <w:style w:type="paragraph" w:styleId="FootnoteText">
    <w:name w:val="footnote text"/>
    <w:basedOn w:val="Normal"/>
    <w:link w:val="FootnoteTextChar"/>
    <w:semiHidden/>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10"/>
      </w:numPr>
    </w:pPr>
  </w:style>
  <w:style w:type="paragraph" w:customStyle="1" w:styleId="AllensHeading4">
    <w:name w:val="Allens Heading 4"/>
    <w:basedOn w:val="Normal"/>
    <w:qFormat/>
    <w:rsid w:val="0015748D"/>
    <w:pPr>
      <w:numPr>
        <w:ilvl w:val="3"/>
        <w:numId w:val="10"/>
      </w:numPr>
    </w:pPr>
  </w:style>
  <w:style w:type="paragraph" w:customStyle="1" w:styleId="AllensHeading5">
    <w:name w:val="Allens Heading 5"/>
    <w:basedOn w:val="Normal"/>
    <w:qFormat/>
    <w:rsid w:val="0015748D"/>
    <w:pPr>
      <w:numPr>
        <w:ilvl w:val="4"/>
        <w:numId w:val="10"/>
      </w:numPr>
    </w:pPr>
  </w:style>
  <w:style w:type="paragraph" w:customStyle="1" w:styleId="AllensHeading6">
    <w:name w:val="Allens Heading 6"/>
    <w:basedOn w:val="Normal"/>
    <w:qFormat/>
    <w:rsid w:val="0015748D"/>
    <w:pPr>
      <w:numPr>
        <w:ilvl w:val="5"/>
        <w:numId w:val="10"/>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1B4"/>
    <w:rPr>
      <w:rFonts w:ascii="Tahoma" w:hAnsi="Tahoma" w:cs="Tahoma"/>
      <w:sz w:val="16"/>
      <w:szCs w:val="16"/>
    </w:rPr>
  </w:style>
  <w:style w:type="paragraph" w:styleId="NormalWeb">
    <w:name w:val="Normal (Web)"/>
    <w:basedOn w:val="Normal"/>
    <w:uiPriority w:val="99"/>
    <w:unhideWhenUsed/>
    <w:rsid w:val="004F2948"/>
    <w:pPr>
      <w:spacing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F2948"/>
  </w:style>
  <w:style w:type="character" w:styleId="FootnoteReference">
    <w:name w:val="footnote reference"/>
    <w:basedOn w:val="DefaultParagraphFont"/>
    <w:rsid w:val="000F0D5C"/>
    <w:rPr>
      <w:vertAlign w:val="superscript"/>
    </w:rPr>
  </w:style>
  <w:style w:type="character" w:customStyle="1" w:styleId="FootnoteTextChar">
    <w:name w:val="Footnote Text Char"/>
    <w:basedOn w:val="DefaultParagraphFont"/>
    <w:link w:val="FootnoteText"/>
    <w:semiHidden/>
    <w:rsid w:val="00533940"/>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toc 1" w:uiPriority="39" w:qFormat="1"/>
    <w:lsdException w:name="toc 2" w:uiPriority="39" w:qFormat="1"/>
    <w:lsdException w:name="Normal Indent" w:qFormat="1"/>
    <w:lsdException w:name="footer" w:qFormat="1"/>
    <w:lsdException w:name="caption" w:semiHidden="1"/>
    <w:lsdException w:name="page number" w:qFormat="1"/>
    <w:lsdException w:name="Title" w:qFormat="1"/>
    <w:lsdException w:name="Body Text" w:qFormat="1"/>
    <w:lsdException w:name="Body Text Indent"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qFormat/>
    <w:rsid w:val="00EA5E72"/>
    <w:pPr>
      <w:spacing w:before="100" w:line="288" w:lineRule="auto"/>
    </w:pPr>
  </w:style>
  <w:style w:type="paragraph" w:styleId="Heading1">
    <w:name w:val="heading 1"/>
    <w:basedOn w:val="Normal"/>
    <w:next w:val="Normal"/>
    <w:semiHidden/>
    <w:pPr>
      <w:outlineLvl w:val="0"/>
    </w:pPr>
  </w:style>
  <w:style w:type="paragraph" w:styleId="Heading2">
    <w:name w:val="heading 2"/>
    <w:basedOn w:val="Normal"/>
    <w:next w:val="NormalIndent"/>
    <w:semiHidden/>
    <w:pPr>
      <w:outlineLvl w:val="1"/>
    </w:pPr>
  </w:style>
  <w:style w:type="paragraph" w:styleId="Heading3">
    <w:name w:val="heading 3"/>
    <w:basedOn w:val="Normal"/>
    <w:semiHidden/>
    <w:pPr>
      <w:outlineLvl w:val="2"/>
    </w:pPr>
  </w:style>
  <w:style w:type="paragraph" w:styleId="Heading4">
    <w:name w:val="heading 4"/>
    <w:basedOn w:val="Normal"/>
    <w:semiHidden/>
    <w:pPr>
      <w:outlineLvl w:val="3"/>
    </w:pPr>
  </w:style>
  <w:style w:type="paragraph" w:styleId="Heading5">
    <w:name w:val="heading 5"/>
    <w:basedOn w:val="Normal"/>
    <w:semiHidden/>
    <w:pPr>
      <w:outlineLvl w:val="4"/>
    </w:pPr>
  </w:style>
  <w:style w:type="paragraph" w:styleId="Heading6">
    <w:name w:val="heading 6"/>
    <w:basedOn w:val="Normal"/>
    <w:semiHidden/>
    <w:pPr>
      <w:outlineLvl w:val="5"/>
    </w:pPr>
  </w:style>
  <w:style w:type="paragraph" w:styleId="Heading7">
    <w:name w:val="heading 7"/>
    <w:basedOn w:val="Normal"/>
    <w:next w:val="Normal"/>
    <w:semiHidden/>
    <w:pPr>
      <w:outlineLvl w:val="6"/>
    </w:pPr>
  </w:style>
  <w:style w:type="paragraph" w:styleId="Heading8">
    <w:name w:val="heading 8"/>
    <w:basedOn w:val="Normal"/>
    <w:next w:val="Normal"/>
    <w:semiHidden/>
    <w:pPr>
      <w:outlineLvl w:val="7"/>
    </w:pPr>
  </w:style>
  <w:style w:type="paragraph" w:styleId="Heading9">
    <w:name w:val="heading 9"/>
    <w:basedOn w:val="Normal"/>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pPr>
      <w:spacing w:before="0" w:line="240" w:lineRule="auto"/>
    </w:pPr>
  </w:style>
  <w:style w:type="paragraph" w:styleId="BodyTextIndent">
    <w:name w:val="Body Text Indent"/>
    <w:basedOn w:val="BodyText"/>
    <w:qFormat/>
    <w:pPr>
      <w:ind w:left="709"/>
    </w:pPr>
  </w:style>
  <w:style w:type="paragraph" w:customStyle="1" w:styleId="Bullet1">
    <w:name w:val="Bullet 1"/>
    <w:basedOn w:val="Normal"/>
    <w:qFormat/>
    <w:pPr>
      <w:numPr>
        <w:numId w:val="1"/>
      </w:numPr>
    </w:pPr>
  </w:style>
  <w:style w:type="paragraph" w:customStyle="1" w:styleId="Bullet2">
    <w:name w:val="Bullet 2"/>
    <w:basedOn w:val="Normal"/>
    <w:qFormat/>
    <w:pPr>
      <w:numPr>
        <w:numId w:val="2"/>
      </w:numPr>
    </w:pPr>
  </w:style>
  <w:style w:type="paragraph" w:customStyle="1" w:styleId="Bullet3">
    <w:name w:val="Bullet 3"/>
    <w:basedOn w:val="Normal"/>
    <w:qFormat/>
    <w:pPr>
      <w:numPr>
        <w:numId w:val="3"/>
      </w:numPr>
    </w:pPr>
  </w:style>
  <w:style w:type="paragraph" w:styleId="Footer">
    <w:name w:val="footer"/>
    <w:basedOn w:val="Normal"/>
    <w:qFormat/>
    <w:pPr>
      <w:spacing w:before="40" w:line="240" w:lineRule="auto"/>
    </w:pPr>
    <w:rPr>
      <w:noProof/>
      <w:sz w:val="16"/>
    </w:rPr>
  </w:style>
  <w:style w:type="paragraph" w:customStyle="1" w:styleId="Definitions">
    <w:name w:val="Definitions"/>
    <w:basedOn w:val="NormalIndent"/>
    <w:qFormat/>
    <w:rsid w:val="00774A46"/>
    <w:pPr>
      <w:numPr>
        <w:numId w:val="11"/>
      </w:numPr>
      <w:ind w:left="709" w:firstLine="0"/>
    </w:pPr>
  </w:style>
  <w:style w:type="paragraph" w:customStyle="1" w:styleId="GNHeading">
    <w:name w:val="GN Heading"/>
    <w:basedOn w:val="Normal"/>
    <w:next w:val="GNNormalIndent"/>
    <w:uiPriority w:val="1"/>
    <w:qFormat/>
    <w:rsid w:val="008F401F"/>
    <w:pPr>
      <w:keepNext/>
      <w:numPr>
        <w:numId w:val="8"/>
      </w:numPr>
      <w:spacing w:before="200" w:line="240" w:lineRule="auto"/>
    </w:pPr>
    <w:rPr>
      <w:b/>
      <w:vanish/>
      <w:color w:val="000080"/>
    </w:rPr>
  </w:style>
  <w:style w:type="paragraph" w:customStyle="1" w:styleId="GNNormalIndent">
    <w:name w:val="GN Normal Indent"/>
    <w:basedOn w:val="GNNormal"/>
    <w:uiPriority w:val="1"/>
    <w:qFormat/>
    <w:pPr>
      <w:ind w:left="709"/>
    </w:pPr>
  </w:style>
  <w:style w:type="paragraph" w:customStyle="1" w:styleId="GNNormal">
    <w:name w:val="GN Normal"/>
    <w:basedOn w:val="Normal"/>
    <w:uiPriority w:val="1"/>
    <w:qFormat/>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semiHidden/>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1"/>
      </w:numPr>
    </w:pPr>
  </w:style>
  <w:style w:type="paragraph" w:customStyle="1" w:styleId="level1">
    <w:name w:val="level1"/>
    <w:basedOn w:val="Normal"/>
    <w:qFormat/>
    <w:rsid w:val="008F401F"/>
    <w:pPr>
      <w:numPr>
        <w:numId w:val="9"/>
      </w:numPr>
    </w:pPr>
  </w:style>
  <w:style w:type="paragraph" w:customStyle="1" w:styleId="level2">
    <w:name w:val="level2"/>
    <w:basedOn w:val="Normal"/>
    <w:qFormat/>
    <w:pPr>
      <w:numPr>
        <w:ilvl w:val="1"/>
        <w:numId w:val="9"/>
      </w:numPr>
    </w:pPr>
  </w:style>
  <w:style w:type="paragraph" w:customStyle="1" w:styleId="level3">
    <w:name w:val="level3"/>
    <w:basedOn w:val="Normal"/>
    <w:qFormat/>
    <w:pPr>
      <w:numPr>
        <w:ilvl w:val="2"/>
        <w:numId w:val="9"/>
      </w:numPr>
    </w:pPr>
  </w:style>
  <w:style w:type="paragraph" w:customStyle="1" w:styleId="level4">
    <w:name w:val="level4"/>
    <w:basedOn w:val="Normal"/>
    <w:qFormat/>
    <w:pPr>
      <w:numPr>
        <w:ilvl w:val="3"/>
        <w:numId w:val="9"/>
      </w:numPr>
    </w:pPr>
  </w:style>
  <w:style w:type="paragraph" w:customStyle="1" w:styleId="level5">
    <w:name w:val="level5"/>
    <w:basedOn w:val="Normal"/>
    <w:qFormat/>
    <w:pPr>
      <w:numPr>
        <w:ilvl w:val="4"/>
        <w:numId w:val="9"/>
      </w:numPr>
    </w:pPr>
  </w:style>
  <w:style w:type="paragraph" w:customStyle="1" w:styleId="level6">
    <w:name w:val="level6"/>
    <w:basedOn w:val="Normal"/>
    <w:qFormat/>
    <w:pPr>
      <w:numPr>
        <w:ilvl w:val="5"/>
        <w:numId w:val="9"/>
      </w:numPr>
    </w:pPr>
  </w:style>
  <w:style w:type="character" w:styleId="PageNumber">
    <w:name w:val="page number"/>
    <w:semiHidden/>
    <w:qFormat/>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1"/>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10"/>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10"/>
      </w:numPr>
      <w:spacing w:before="160"/>
      <w:outlineLvl w:val="1"/>
    </w:pPr>
    <w:rPr>
      <w:b/>
      <w:sz w:val="21"/>
    </w:rPr>
  </w:style>
  <w:style w:type="paragraph" w:styleId="FootnoteText">
    <w:name w:val="footnote text"/>
    <w:basedOn w:val="Normal"/>
    <w:link w:val="FootnoteTextChar"/>
    <w:semiHidden/>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10"/>
      </w:numPr>
    </w:pPr>
  </w:style>
  <w:style w:type="paragraph" w:customStyle="1" w:styleId="AllensHeading4">
    <w:name w:val="Allens Heading 4"/>
    <w:basedOn w:val="Normal"/>
    <w:qFormat/>
    <w:rsid w:val="0015748D"/>
    <w:pPr>
      <w:numPr>
        <w:ilvl w:val="3"/>
        <w:numId w:val="10"/>
      </w:numPr>
    </w:pPr>
  </w:style>
  <w:style w:type="paragraph" w:customStyle="1" w:styleId="AllensHeading5">
    <w:name w:val="Allens Heading 5"/>
    <w:basedOn w:val="Normal"/>
    <w:qFormat/>
    <w:rsid w:val="0015748D"/>
    <w:pPr>
      <w:numPr>
        <w:ilvl w:val="4"/>
        <w:numId w:val="10"/>
      </w:numPr>
    </w:pPr>
  </w:style>
  <w:style w:type="paragraph" w:customStyle="1" w:styleId="AllensHeading6">
    <w:name w:val="Allens Heading 6"/>
    <w:basedOn w:val="Normal"/>
    <w:qFormat/>
    <w:rsid w:val="0015748D"/>
    <w:pPr>
      <w:numPr>
        <w:ilvl w:val="5"/>
        <w:numId w:val="10"/>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1B4"/>
    <w:rPr>
      <w:rFonts w:ascii="Tahoma" w:hAnsi="Tahoma" w:cs="Tahoma"/>
      <w:sz w:val="16"/>
      <w:szCs w:val="16"/>
    </w:rPr>
  </w:style>
  <w:style w:type="paragraph" w:styleId="NormalWeb">
    <w:name w:val="Normal (Web)"/>
    <w:basedOn w:val="Normal"/>
    <w:uiPriority w:val="99"/>
    <w:unhideWhenUsed/>
    <w:rsid w:val="004F2948"/>
    <w:pPr>
      <w:spacing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F2948"/>
  </w:style>
  <w:style w:type="character" w:styleId="FootnoteReference">
    <w:name w:val="footnote reference"/>
    <w:basedOn w:val="DefaultParagraphFont"/>
    <w:rsid w:val="000F0D5C"/>
    <w:rPr>
      <w:vertAlign w:val="superscript"/>
    </w:rPr>
  </w:style>
  <w:style w:type="character" w:customStyle="1" w:styleId="FootnoteTextChar">
    <w:name w:val="Footnote Text Char"/>
    <w:basedOn w:val="DefaultParagraphFont"/>
    <w:link w:val="FootnoteText"/>
    <w:semiHidden/>
    <w:rsid w:val="0053394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397630900">
      <w:bodyDiv w:val="1"/>
      <w:marLeft w:val="0"/>
      <w:marRight w:val="0"/>
      <w:marTop w:val="0"/>
      <w:marBottom w:val="0"/>
      <w:divBdr>
        <w:top w:val="none" w:sz="0" w:space="0" w:color="auto"/>
        <w:left w:val="none" w:sz="0" w:space="0" w:color="auto"/>
        <w:bottom w:val="none" w:sz="0" w:space="0" w:color="auto"/>
        <w:right w:val="none" w:sz="0" w:space="0" w:color="auto"/>
      </w:divBdr>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1090538812">
      <w:bodyDiv w:val="1"/>
      <w:marLeft w:val="0"/>
      <w:marRight w:val="0"/>
      <w:marTop w:val="0"/>
      <w:marBottom w:val="0"/>
      <w:divBdr>
        <w:top w:val="none" w:sz="0" w:space="0" w:color="auto"/>
        <w:left w:val="none" w:sz="0" w:space="0" w:color="auto"/>
        <w:bottom w:val="none" w:sz="0" w:space="0" w:color="auto"/>
        <w:right w:val="none" w:sz="0" w:space="0" w:color="auto"/>
      </w:divBdr>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216433837">
      <w:bodyDiv w:val="1"/>
      <w:marLeft w:val="0"/>
      <w:marRight w:val="0"/>
      <w:marTop w:val="0"/>
      <w:marBottom w:val="0"/>
      <w:divBdr>
        <w:top w:val="none" w:sz="0" w:space="0" w:color="auto"/>
        <w:left w:val="none" w:sz="0" w:space="0" w:color="auto"/>
        <w:bottom w:val="none" w:sz="0" w:space="0" w:color="auto"/>
        <w:right w:val="none" w:sz="0" w:space="0" w:color="auto"/>
      </w:divBdr>
    </w:div>
    <w:div w:id="1248535246">
      <w:bodyDiv w:val="1"/>
      <w:marLeft w:val="0"/>
      <w:marRight w:val="0"/>
      <w:marTop w:val="0"/>
      <w:marBottom w:val="0"/>
      <w:divBdr>
        <w:top w:val="none" w:sz="0" w:space="0" w:color="auto"/>
        <w:left w:val="none" w:sz="0" w:space="0" w:color="auto"/>
        <w:bottom w:val="none" w:sz="0" w:space="0" w:color="auto"/>
        <w:right w:val="none" w:sz="0" w:space="0" w:color="auto"/>
      </w:divBdr>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Company/>
  <LinksUpToDate>false</LinksUpToDate>
  <CharactersWithSpaces>17453</CharactersWithSpaces>
  <SharedDoc>false</SharedDoc>
  <HLinks>
    <vt:vector size="12" baseType="variant">
      <vt:variant>
        <vt:i4>1507391</vt:i4>
      </vt:variant>
      <vt:variant>
        <vt:i4>-1</vt:i4>
      </vt:variant>
      <vt:variant>
        <vt:i4>2358</vt:i4>
      </vt:variant>
      <vt:variant>
        <vt:i4>1</vt:i4>
      </vt:variant>
      <vt:variant>
        <vt:lpwstr>\\sydfps\apps\Data\Templates\AARTemplates\WIP\AllensLogos\Color\Allens_Logo_Pos_rgb 40mm.jpg</vt:lpwstr>
      </vt:variant>
      <vt:variant>
        <vt:lpwstr/>
      </vt:variant>
      <vt:variant>
        <vt:i4>1507391</vt:i4>
      </vt:variant>
      <vt:variant>
        <vt:i4>-1</vt:i4>
      </vt:variant>
      <vt:variant>
        <vt:i4>2367</vt:i4>
      </vt:variant>
      <vt:variant>
        <vt:i4>1</vt:i4>
      </vt:variant>
      <vt:variant>
        <vt:lpwstr>\\sydfps\apps\Data\Templates\AARTemplates\WIP\AllensLogos\Color\Allens_Logo_Pos_rgb 40mm.jpg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2016-02-17T03:48:00Z</dcterms:created>
  <dcterms:modified xsi:type="dcterms:W3CDTF">2016-02-17T03:48:00Z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SFooter">
    <vt:lpwstr>fztb A0134722584v4 120564412 </vt:lpwstr>
  </op:property>
  <op:property fmtid="{D5CDD505-2E9C-101B-9397-08002B2CF9AE}" pid="3" name="DOCSDocNumber">
    <vt:lpwstr>34722584</vt:lpwstr>
  </op:property>
  <op:property fmtid="{D5CDD505-2E9C-101B-9397-08002B2CF9AE}" pid="4" name="DOCSDocumentID">
    <vt:lpwstr>A0134722584</vt:lpwstr>
  </op:property>
  <op:property fmtid="{D5CDD505-2E9C-101B-9397-08002B2CF9AE}" pid="5" name="DOCSDocName">
    <vt:lpwstr>Options Paper - Mechanisms - QLD Charter of Human Rights</vt:lpwstr>
  </op:property>
  <op:property fmtid="{D5CDD505-2E9C-101B-9397-08002B2CF9AE}" pid="6" name="DOCSAuthorID">
    <vt:lpwstr>fztb</vt:lpwstr>
  </op:property>
  <op:property fmtid="{D5CDD505-2E9C-101B-9397-08002B2CF9AE}" pid="7" name="DOCSAuthorName">
    <vt:lpwstr>Thatcher, Fiona</vt:lpwstr>
  </op:property>
  <op:property fmtid="{D5CDD505-2E9C-101B-9397-08002B2CF9AE}" pid="8" name="DOCSMatterID">
    <vt:lpwstr>120564412</vt:lpwstr>
  </op:property>
  <op:property fmtid="{D5CDD505-2E9C-101B-9397-08002B2CF9AE}" pid="9" name="DOCSMatterName">
    <vt:lpwstr>Submission on Queensland Charter of Rights</vt:lpwstr>
  </op:property>
  <op:property fmtid="{D5CDD505-2E9C-101B-9397-08002B2CF9AE}" pid="10" name="DOCSTypistID">
    <vt:lpwstr>fztb</vt:lpwstr>
  </op:property>
  <op:property fmtid="{D5CDD505-2E9C-101B-9397-08002B2CF9AE}" pid="11" name="DOCSTypistName">
    <vt:lpwstr>Thatcher, Fiona</vt:lpwstr>
  </op:property>
  <op:property fmtid="{D5CDD505-2E9C-101B-9397-08002B2CF9AE}" pid="12" name="DOCSDocTypeDsc">
    <vt:lpwstr>DOCSDocTypeDsc</vt:lpwstr>
  </op:property>
  <op:property fmtid="{D5CDD505-2E9C-101B-9397-08002B2CF9AE}" pid="13" name="DOCSCreationDate">
    <vt:lpwstr>3/11/2015 12:24:08 PM</vt:lpwstr>
  </op:property>
  <op:property fmtid="{D5CDD505-2E9C-101B-9397-08002B2CF9AE}" pid="14" name="DOCSLastEditDate">
    <vt:lpwstr>4/02/2016 10:28:56 AM</vt:lpwstr>
  </op:property>
  <op:property fmtid="{D5CDD505-2E9C-101B-9397-08002B2CF9AE}" pid="15" name="DOCSClientID">
    <vt:lpwstr>1303156</vt:lpwstr>
  </op:property>
  <op:property fmtid="{D5CDD505-2E9C-101B-9397-08002B2CF9AE}" pid="16" name="DOCSClientName">
    <vt:lpwstr>Queensland Association of Independent Le</vt:lpwstr>
  </op:property>
  <op:property fmtid="{D5CDD505-2E9C-101B-9397-08002B2CF9AE}" pid="17" name="DOCSPrecedentID">
    <vt:lpwstr/>
  </op:property>
  <op:property fmtid="{D5CDD505-2E9C-101B-9397-08002B2CF9AE}" pid="18" name="DOCSProjectName">
    <vt:lpwstr/>
  </op:property>
  <op:property fmtid="{D5CDD505-2E9C-101B-9397-08002B2CF9AE}" pid="19" name="DOCSVersionNumber">
    <vt:lpwstr>4</vt:lpwstr>
  </op:property>
  <op:property fmtid="{D5CDD505-2E9C-101B-9397-08002B2CF9AE}" pid="20" name="DOCSDocTypeID">
    <vt:lpwstr>Document</vt:lpwstr>
  </op:property>
</op:Properties>
</file>