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CC" w:rsidRDefault="00F24BCC" w:rsidP="00F24BCC">
      <w:pPr>
        <w:jc w:val="center"/>
        <w:rPr>
          <w:b/>
        </w:rPr>
      </w:pPr>
      <w:r>
        <w:rPr>
          <w:b/>
        </w:rPr>
        <w:t xml:space="preserve">QAILS </w:t>
      </w:r>
    </w:p>
    <w:p w:rsidR="00F24BCC" w:rsidRDefault="00F24BCC" w:rsidP="00F24BCC">
      <w:pPr>
        <w:jc w:val="center"/>
        <w:rPr>
          <w:b/>
        </w:rPr>
      </w:pPr>
      <w:r>
        <w:rPr>
          <w:b/>
        </w:rPr>
        <w:t>QLSP Planning – Employment Law</w:t>
      </w:r>
    </w:p>
    <w:p w:rsidR="00F24BCC" w:rsidRDefault="00F24BCC" w:rsidP="00F24BCC">
      <w:pPr>
        <w:pBdr>
          <w:bottom w:val="single" w:sz="4" w:space="1" w:color="auto"/>
        </w:pBdr>
        <w:jc w:val="center"/>
      </w:pPr>
      <w:r>
        <w:rPr>
          <w:b/>
        </w:rPr>
        <w:t>19 November</w:t>
      </w:r>
    </w:p>
    <w:p w:rsidR="00F24BCC" w:rsidRPr="001D0C0B" w:rsidRDefault="00F24BCC" w:rsidP="00F24BCC">
      <w:pPr>
        <w:rPr>
          <w:b/>
        </w:rPr>
      </w:pPr>
      <w:r w:rsidRPr="001D0C0B">
        <w:rPr>
          <w:b/>
        </w:rPr>
        <w:t>Attendance:</w:t>
      </w:r>
    </w:p>
    <w:p w:rsidR="00F24BCC" w:rsidRDefault="00F24BCC" w:rsidP="00F24BCC">
      <w:r>
        <w:t xml:space="preserve"> Scott </w:t>
      </w:r>
      <w:proofErr w:type="gramStart"/>
      <w:r>
        <w:t>McDougall  -</w:t>
      </w:r>
      <w:proofErr w:type="gramEnd"/>
      <w:r>
        <w:t xml:space="preserve"> Caxton</w:t>
      </w:r>
      <w:r w:rsidR="001D0C0B">
        <w:t xml:space="preserve"> (Chair and note taker)</w:t>
      </w:r>
    </w:p>
    <w:p w:rsidR="00F24BCC" w:rsidRDefault="00F24BCC" w:rsidP="00F24BCC">
      <w:r>
        <w:t>Aaron Finn – TCLS</w:t>
      </w:r>
    </w:p>
    <w:p w:rsidR="00F24BCC" w:rsidRDefault="00F24BCC" w:rsidP="00F24BCC">
      <w:r>
        <w:t>Felix</w:t>
      </w:r>
      <w:r w:rsidR="00323734">
        <w:t xml:space="preserve"> Turnbull</w:t>
      </w:r>
      <w:r>
        <w:t xml:space="preserve"> – Goondiwindi</w:t>
      </w:r>
    </w:p>
    <w:p w:rsidR="00F24BCC" w:rsidRDefault="00F24BCC" w:rsidP="00F24BCC">
      <w:r>
        <w:t>Laurie McMahon – MBRCLC</w:t>
      </w:r>
    </w:p>
    <w:p w:rsidR="00F24BCC" w:rsidRDefault="00F24BCC" w:rsidP="00F24BCC">
      <w:r>
        <w:t>James Barnes – CCLC</w:t>
      </w:r>
    </w:p>
    <w:p w:rsidR="00F24BCC" w:rsidRDefault="00F24BCC" w:rsidP="001D0C0B">
      <w:pPr>
        <w:pBdr>
          <w:bottom w:val="single" w:sz="4" w:space="1" w:color="auto"/>
        </w:pBdr>
      </w:pPr>
      <w:r>
        <w:t>Andrew Kennedy – Logan</w:t>
      </w:r>
    </w:p>
    <w:p w:rsidR="00F24BCC" w:rsidRPr="005E5325" w:rsidRDefault="00F24BCC" w:rsidP="005E5325">
      <w:pPr>
        <w:pStyle w:val="ListParagraph"/>
        <w:numPr>
          <w:ilvl w:val="0"/>
          <w:numId w:val="1"/>
        </w:numPr>
        <w:rPr>
          <w:b/>
        </w:rPr>
      </w:pPr>
      <w:r w:rsidRPr="005E5325">
        <w:rPr>
          <w:b/>
        </w:rPr>
        <w:t>Existing Service Delivery Models and Scope of Service</w:t>
      </w:r>
    </w:p>
    <w:p w:rsidR="005E5325" w:rsidRDefault="005E5325" w:rsidP="005E5325">
      <w:pPr>
        <w:rPr>
          <w:b/>
        </w:rPr>
      </w:pPr>
    </w:p>
    <w:p w:rsidR="005E5325" w:rsidRPr="005E5325" w:rsidRDefault="005E5325" w:rsidP="005E5325">
      <w:r>
        <w:t>T was generally noted that generalist centres across Queensland were experiencing demand for employment law services and there was concern about degree of specialisation required to service clients effectively.</w:t>
      </w:r>
    </w:p>
    <w:p w:rsidR="00F24BCC" w:rsidRPr="00B83860" w:rsidRDefault="00F24BCC" w:rsidP="00F24BCC">
      <w:pPr>
        <w:rPr>
          <w:u w:val="single"/>
        </w:rPr>
      </w:pPr>
      <w:r w:rsidRPr="00B83860">
        <w:rPr>
          <w:u w:val="single"/>
        </w:rPr>
        <w:t>Caxton</w:t>
      </w:r>
    </w:p>
    <w:p w:rsidR="004F7A66" w:rsidRDefault="004F7A66" w:rsidP="00F24BCC">
      <w:proofErr w:type="gramStart"/>
      <w:r>
        <w:t>Operates an unfunded specialist evening advice clinic on Wednesday nights.</w:t>
      </w:r>
      <w:proofErr w:type="gramEnd"/>
      <w:r>
        <w:t xml:space="preserve">  </w:t>
      </w:r>
      <w:proofErr w:type="gramStart"/>
      <w:r>
        <w:t>Booked appointments.</w:t>
      </w:r>
      <w:proofErr w:type="gramEnd"/>
      <w:r>
        <w:t xml:space="preserve">  </w:t>
      </w:r>
      <w:proofErr w:type="gramStart"/>
      <w:r>
        <w:t>Limited document preparation.</w:t>
      </w:r>
      <w:proofErr w:type="gramEnd"/>
      <w:r>
        <w:t xml:space="preserve"> </w:t>
      </w:r>
      <w:r w:rsidR="00323734">
        <w:t>Employment law specialists volunteers from small and large firms. Lots of u</w:t>
      </w:r>
      <w:r>
        <w:t>nfair dismissal</w:t>
      </w:r>
      <w:r w:rsidR="00323734">
        <w:t xml:space="preserve">/bullying/adverse action/discrimination matters.  Approximately 60 </w:t>
      </w:r>
      <w:proofErr w:type="gramStart"/>
      <w:r w:rsidR="00323734">
        <w:t>calls</w:t>
      </w:r>
      <w:proofErr w:type="gramEnd"/>
      <w:r w:rsidR="00323734">
        <w:t xml:space="preserve"> a week.  </w:t>
      </w:r>
      <w:proofErr w:type="gramStart"/>
      <w:r w:rsidR="00323734">
        <w:t>Many referrals from FWC.</w:t>
      </w:r>
      <w:proofErr w:type="gramEnd"/>
      <w:r w:rsidR="00323734">
        <w:t xml:space="preserve">  </w:t>
      </w:r>
    </w:p>
    <w:p w:rsidR="00323734" w:rsidRDefault="00323734" w:rsidP="00F24BCC">
      <w:proofErr w:type="gramStart"/>
      <w:r>
        <w:t>Concerns about lack of specialist knowledge amongst generalist lawyers in house.</w:t>
      </w:r>
      <w:proofErr w:type="gramEnd"/>
      <w:r>
        <w:t xml:space="preserve">  </w:t>
      </w:r>
      <w:proofErr w:type="gramStart"/>
      <w:r>
        <w:t>Trying to address this through training.</w:t>
      </w:r>
      <w:proofErr w:type="gramEnd"/>
    </w:p>
    <w:p w:rsidR="00F24BCC" w:rsidRPr="00B83860" w:rsidRDefault="00F24BCC" w:rsidP="00F24BCC">
      <w:pPr>
        <w:rPr>
          <w:u w:val="single"/>
        </w:rPr>
      </w:pPr>
      <w:r w:rsidRPr="00B83860">
        <w:rPr>
          <w:u w:val="single"/>
        </w:rPr>
        <w:t>TCLS</w:t>
      </w:r>
    </w:p>
    <w:p w:rsidR="00F24BCC" w:rsidRDefault="00F24BCC" w:rsidP="00F24BCC">
      <w:r>
        <w:t> Moved from evening sessions to daytime student clinic – highest area of demand – 10 -20 calls per week – services include drafting notices and occasional conciliation conference</w:t>
      </w:r>
      <w:r w:rsidR="00323734">
        <w:t xml:space="preserve"> attendances</w:t>
      </w:r>
      <w:r>
        <w:t>.</w:t>
      </w:r>
    </w:p>
    <w:p w:rsidR="00323734" w:rsidRDefault="00323734" w:rsidP="00F24BCC">
      <w:r>
        <w:t>Try to refer to QWWS service as much as possible.  Share concerns about ability to service such a specialist area of law.</w:t>
      </w:r>
    </w:p>
    <w:p w:rsidR="00F24BCC" w:rsidRPr="00B83860" w:rsidRDefault="00F24BCC" w:rsidP="00F24BCC">
      <w:pPr>
        <w:rPr>
          <w:u w:val="single"/>
        </w:rPr>
      </w:pPr>
      <w:r w:rsidRPr="00B83860">
        <w:rPr>
          <w:u w:val="single"/>
        </w:rPr>
        <w:t>Goondiwindi</w:t>
      </w:r>
    </w:p>
    <w:p w:rsidR="00F24BCC" w:rsidRDefault="00F24BCC" w:rsidP="00B83860">
      <w:r>
        <w:t>Drafting notices re unfair dismissal</w:t>
      </w:r>
    </w:p>
    <w:p w:rsidR="00F24BCC" w:rsidRDefault="00F24BCC" w:rsidP="00B83860">
      <w:r>
        <w:t>Conciliation conferences</w:t>
      </w:r>
    </w:p>
    <w:p w:rsidR="00F24BCC" w:rsidRPr="00B83860" w:rsidRDefault="00F24BCC" w:rsidP="00F24BCC">
      <w:pPr>
        <w:rPr>
          <w:u w:val="single"/>
        </w:rPr>
      </w:pPr>
      <w:r w:rsidRPr="00B83860">
        <w:rPr>
          <w:u w:val="single"/>
        </w:rPr>
        <w:t>MBRCLC</w:t>
      </w:r>
    </w:p>
    <w:p w:rsidR="00F24BCC" w:rsidRDefault="00B83860" w:rsidP="00F24BCC">
      <w:proofErr w:type="gramStart"/>
      <w:r>
        <w:lastRenderedPageBreak/>
        <w:t>High area of demand for advice.</w:t>
      </w:r>
      <w:proofErr w:type="gramEnd"/>
      <w:r>
        <w:t xml:space="preserve">  </w:t>
      </w:r>
      <w:proofErr w:type="gramStart"/>
      <w:r>
        <w:t>Lots of problems with contracts and sham/unlawful agreements.</w:t>
      </w:r>
      <w:proofErr w:type="gramEnd"/>
      <w:r>
        <w:t xml:space="preserve">  Feel comfortable giving limited advice without drafting documents.</w:t>
      </w:r>
      <w:r w:rsidR="00F24BCC">
        <w:t> </w:t>
      </w:r>
    </w:p>
    <w:p w:rsidR="00F24BCC" w:rsidRDefault="00F24BCC" w:rsidP="00F24BCC">
      <w:pPr>
        <w:rPr>
          <w:u w:val="single"/>
        </w:rPr>
      </w:pPr>
      <w:r w:rsidRPr="00B83860">
        <w:rPr>
          <w:u w:val="single"/>
        </w:rPr>
        <w:t>CCLC</w:t>
      </w:r>
    </w:p>
    <w:p w:rsidR="00B83860" w:rsidRDefault="00B83860" w:rsidP="00F24BCC">
      <w:proofErr w:type="gramStart"/>
      <w:r>
        <w:t>James new to the role (3 months).</w:t>
      </w:r>
      <w:proofErr w:type="gramEnd"/>
      <w:r>
        <w:t xml:space="preserve">  </w:t>
      </w:r>
      <w:proofErr w:type="spellStart"/>
      <w:proofErr w:type="gramStart"/>
      <w:r>
        <w:t>Indentified</w:t>
      </w:r>
      <w:proofErr w:type="spellEnd"/>
      <w:r>
        <w:t xml:space="preserve"> changing time limits.</w:t>
      </w:r>
      <w:proofErr w:type="gramEnd"/>
      <w:r>
        <w:t xml:space="preserve">  Cairns offers 4 half hour appointments on Thursday afternoon however James will squeeze in urgent employment matters into other days if necessary.</w:t>
      </w:r>
    </w:p>
    <w:p w:rsidR="00B83860" w:rsidRDefault="00B83860" w:rsidP="00F24BCC">
      <w:r>
        <w:t>Offers document preparation and discrete task assistance if client is struggling to prepare by themselves.</w:t>
      </w:r>
    </w:p>
    <w:p w:rsidR="00F24BCC" w:rsidRDefault="00F24BCC" w:rsidP="00F24BCC">
      <w:r>
        <w:t>Adverse action and U/D are main issues – very specialised</w:t>
      </w:r>
    </w:p>
    <w:p w:rsidR="00F24BCC" w:rsidRPr="00B83860" w:rsidRDefault="00B83860" w:rsidP="00F24BCC">
      <w:pPr>
        <w:rPr>
          <w:u w:val="single"/>
        </w:rPr>
      </w:pPr>
      <w:r w:rsidRPr="00B83860">
        <w:rPr>
          <w:u w:val="single"/>
        </w:rPr>
        <w:t>Mackay</w:t>
      </w:r>
    </w:p>
    <w:p w:rsidR="00F24BCC" w:rsidRDefault="00F24BCC" w:rsidP="00F24BCC">
      <w:r>
        <w:t>Aaron noted that Mackay had apparently experienced an upswing</w:t>
      </w:r>
      <w:r w:rsidR="00B83860">
        <w:t xml:space="preserve"> in employment advice demand</w:t>
      </w:r>
      <w:r>
        <w:t>.</w:t>
      </w:r>
    </w:p>
    <w:p w:rsidR="00153993" w:rsidRDefault="00153993" w:rsidP="00F24BCC">
      <w:pPr>
        <w:rPr>
          <w:u w:val="single"/>
        </w:rPr>
      </w:pPr>
      <w:r>
        <w:rPr>
          <w:u w:val="single"/>
        </w:rPr>
        <w:t>Legal Aid</w:t>
      </w:r>
    </w:p>
    <w:p w:rsidR="00153993" w:rsidRPr="00153993" w:rsidRDefault="00153993" w:rsidP="00F24BCC">
      <w:r>
        <w:t>It was noted that LAQ had received an additional $3M over 2 years to provide enhanced civil law services in Queensland including employment, social security and consumer law.  It was not entirely clear how this would affect demand for employment law experienced by CLCs, especially in the regions.</w:t>
      </w:r>
    </w:p>
    <w:p w:rsidR="00F24BCC" w:rsidRPr="00B83860" w:rsidRDefault="00F24BCC" w:rsidP="00B83860">
      <w:pPr>
        <w:rPr>
          <w:b/>
        </w:rPr>
      </w:pPr>
      <w:r>
        <w:t> </w:t>
      </w:r>
      <w:r w:rsidRPr="00B83860">
        <w:rPr>
          <w:b/>
        </w:rPr>
        <w:t>2.</w:t>
      </w:r>
      <w:r w:rsidRPr="00B83860">
        <w:rPr>
          <w:rFonts w:ascii="Times New Roman" w:hAnsi="Times New Roman"/>
          <w:b/>
          <w:sz w:val="14"/>
          <w:szCs w:val="14"/>
        </w:rPr>
        <w:t xml:space="preserve">       </w:t>
      </w:r>
      <w:r w:rsidR="00B83860">
        <w:rPr>
          <w:b/>
        </w:rPr>
        <w:t>Opportunities</w:t>
      </w:r>
    </w:p>
    <w:p w:rsidR="00F24BCC" w:rsidRPr="00153993" w:rsidRDefault="00F24BCC" w:rsidP="00F24BCC">
      <w:pPr>
        <w:rPr>
          <w:u w:val="single"/>
        </w:rPr>
      </w:pPr>
      <w:r w:rsidRPr="00153993">
        <w:rPr>
          <w:u w:val="single"/>
        </w:rPr>
        <w:t>Pro Bono – conciliation conferences</w:t>
      </w:r>
    </w:p>
    <w:p w:rsidR="00153993" w:rsidRDefault="00153993" w:rsidP="00153993">
      <w:r>
        <w:t xml:space="preserve">Scott noted that Caxton has had discussions with Clayton </w:t>
      </w:r>
      <w:proofErr w:type="spellStart"/>
      <w:r>
        <w:t>Utz</w:t>
      </w:r>
      <w:proofErr w:type="spellEnd"/>
      <w:r>
        <w:t xml:space="preserve"> and </w:t>
      </w:r>
      <w:proofErr w:type="spellStart"/>
      <w:r>
        <w:t>Ashurst</w:t>
      </w:r>
      <w:proofErr w:type="spellEnd"/>
      <w:r>
        <w:t xml:space="preserve"> about the possibility of offering representation to clients in unfair dismissal conciliation conferences.</w:t>
      </w:r>
    </w:p>
    <w:p w:rsidR="00153993" w:rsidRDefault="00F24BCC" w:rsidP="00F24BCC">
      <w:r w:rsidRPr="00153993">
        <w:rPr>
          <w:u w:val="single"/>
        </w:rPr>
        <w:t>CLE</w:t>
      </w:r>
      <w:r>
        <w:t xml:space="preserve"> </w:t>
      </w:r>
    </w:p>
    <w:p w:rsidR="00153993" w:rsidRDefault="00153993" w:rsidP="00F24BCC">
      <w:r>
        <w:t xml:space="preserve">The question was raised about the desirability of producing a booklet for clients.  It was noted that the </w:t>
      </w:r>
      <w:r w:rsidR="00F24BCC" w:rsidRPr="00153993">
        <w:rPr>
          <w:i/>
        </w:rPr>
        <w:t>Have you lost your Job</w:t>
      </w:r>
      <w:r>
        <w:rPr>
          <w:i/>
        </w:rPr>
        <w:t xml:space="preserve"> </w:t>
      </w:r>
      <w:r>
        <w:t>publication was useful (needed to be kept up to date).</w:t>
      </w:r>
    </w:p>
    <w:p w:rsidR="00F24BCC" w:rsidRDefault="00153993" w:rsidP="00F24BCC">
      <w:r>
        <w:t>The Fair Work Commission</w:t>
      </w:r>
      <w:r w:rsidR="00F24BCC">
        <w:t xml:space="preserve"> </w:t>
      </w:r>
      <w:proofErr w:type="spellStart"/>
      <w:r w:rsidR="00F24BCC">
        <w:t>Benchbook</w:t>
      </w:r>
      <w:proofErr w:type="spellEnd"/>
      <w:r>
        <w:t xml:space="preserve"> is also </w:t>
      </w:r>
      <w:r w:rsidR="005E5325">
        <w:t>a very useful tool for lawyers.</w:t>
      </w:r>
    </w:p>
    <w:p w:rsidR="00F24BCC" w:rsidRDefault="005E5325" w:rsidP="00F24BCC">
      <w:pPr>
        <w:rPr>
          <w:u w:val="single"/>
        </w:rPr>
      </w:pPr>
      <w:r>
        <w:rPr>
          <w:u w:val="single"/>
        </w:rPr>
        <w:t>Training</w:t>
      </w:r>
    </w:p>
    <w:p w:rsidR="005E5325" w:rsidRDefault="005E5325" w:rsidP="00F24BCC">
      <w:r>
        <w:t>There is an obvious opportunity for LAQ to share training opportunities given that it is now employing specialist employment lawyers.</w:t>
      </w:r>
    </w:p>
    <w:p w:rsidR="005E5325" w:rsidRDefault="005E5325" w:rsidP="005E5325">
      <w:r>
        <w:t xml:space="preserve">The recent QAILS </w:t>
      </w:r>
      <w:proofErr w:type="spellStart"/>
      <w:r>
        <w:t>Webinair</w:t>
      </w:r>
      <w:proofErr w:type="spellEnd"/>
      <w:r>
        <w:t xml:space="preserve"> was very useful and there was discussion about the possibility of making it more broadly accessible.</w:t>
      </w:r>
    </w:p>
    <w:p w:rsidR="00F24BCC" w:rsidRPr="005E5325" w:rsidRDefault="00F24BCC" w:rsidP="00F24BCC">
      <w:pPr>
        <w:rPr>
          <w:u w:val="single"/>
        </w:rPr>
      </w:pPr>
      <w:proofErr w:type="gramStart"/>
      <w:r w:rsidRPr="005E5325">
        <w:rPr>
          <w:u w:val="single"/>
        </w:rPr>
        <w:t>Industrial Advocates?</w:t>
      </w:r>
      <w:proofErr w:type="gramEnd"/>
    </w:p>
    <w:p w:rsidR="00F24BCC" w:rsidRDefault="005E5325" w:rsidP="00F24BCC">
      <w:r>
        <w:t>It was suggested that in the past much of the current demand experienced by CLCs was met by industrial advocates.  Anecdotal evidence suggests these advocates have taken up work representing employers and are no longer available to employees.</w:t>
      </w:r>
    </w:p>
    <w:p w:rsidR="00F24BCC" w:rsidRDefault="00F24BCC" w:rsidP="00F24BCC">
      <w:pPr>
        <w:rPr>
          <w:u w:val="single"/>
        </w:rPr>
      </w:pPr>
      <w:bookmarkStart w:id="0" w:name="_GoBack"/>
      <w:bookmarkEnd w:id="0"/>
      <w:r w:rsidRPr="001D0C0B">
        <w:rPr>
          <w:u w:val="single"/>
        </w:rPr>
        <w:lastRenderedPageBreak/>
        <w:t>Specialist Service v Generalist?</w:t>
      </w:r>
    </w:p>
    <w:p w:rsidR="001D0C0B" w:rsidRDefault="001D0C0B" w:rsidP="00F24BCC">
      <w:r>
        <w:t xml:space="preserve">There was discussion about the relative merits of establishing a </w:t>
      </w:r>
      <w:proofErr w:type="spellStart"/>
      <w:proofErr w:type="gramStart"/>
      <w:r>
        <w:t>Statewide</w:t>
      </w:r>
      <w:proofErr w:type="spellEnd"/>
      <w:proofErr w:type="gramEnd"/>
      <w:r>
        <w:t xml:space="preserve"> specialist service versus the existing generalist service delivery model.</w:t>
      </w:r>
    </w:p>
    <w:p w:rsidR="001D0C0B" w:rsidRPr="001D0C0B" w:rsidRDefault="001D0C0B" w:rsidP="00F24BCC">
      <w:r>
        <w:t>Scott suggested the SLASS model of attaching specialist employment lawyers to the existing CLC infrastructure may be the most effective (and efficient) arrangement.</w:t>
      </w:r>
    </w:p>
    <w:p w:rsidR="001D0C0B" w:rsidRPr="001D0C0B" w:rsidRDefault="001D0C0B" w:rsidP="001D0C0B">
      <w:pPr>
        <w:rPr>
          <w:u w:val="single"/>
        </w:rPr>
      </w:pPr>
      <w:r w:rsidRPr="001D0C0B">
        <w:rPr>
          <w:u w:val="single"/>
        </w:rPr>
        <w:t xml:space="preserve">Hotline for clients </w:t>
      </w:r>
    </w:p>
    <w:p w:rsidR="001D0C0B" w:rsidRDefault="001D0C0B" w:rsidP="001D0C0B">
      <w:r>
        <w:t>It was n</w:t>
      </w:r>
      <w:r>
        <w:t>oted employment law can be labo</w:t>
      </w:r>
      <w:r>
        <w:t xml:space="preserve">ur intensive with </w:t>
      </w:r>
      <w:r>
        <w:t xml:space="preserve">clients </w:t>
      </w:r>
      <w:r>
        <w:t xml:space="preserve">who are </w:t>
      </w:r>
      <w:r>
        <w:t>highly affected</w:t>
      </w:r>
      <w:r>
        <w:t xml:space="preserve"> and often suffering</w:t>
      </w:r>
      <w:r>
        <w:t xml:space="preserve"> depression</w:t>
      </w:r>
      <w:r>
        <w:t xml:space="preserve">.  There is a </w:t>
      </w:r>
      <w:r>
        <w:t>need to see documents</w:t>
      </w:r>
      <w:r>
        <w:t xml:space="preserve"> prior to giving advice and the inherent</w:t>
      </w:r>
      <w:r>
        <w:t xml:space="preserve"> limitation with phone service is </w:t>
      </w:r>
      <w:r>
        <w:t xml:space="preserve">the limited </w:t>
      </w:r>
      <w:r>
        <w:t>ability</w:t>
      </w:r>
      <w:r>
        <w:t xml:space="preserve"> of clients</w:t>
      </w:r>
      <w:r>
        <w:t xml:space="preserve"> to scan in doc</w:t>
      </w:r>
      <w:r>
        <w:t>uments</w:t>
      </w:r>
      <w:r>
        <w:t xml:space="preserve"> and send</w:t>
      </w:r>
      <w:r>
        <w:t xml:space="preserve">.  It was suggested </w:t>
      </w:r>
      <w:r>
        <w:t>this may be something that local CLCs could do if referring to a State wide phone service</w:t>
      </w:r>
      <w:r>
        <w:t>.</w:t>
      </w:r>
    </w:p>
    <w:p w:rsidR="001D0C0B" w:rsidRPr="001D0C0B" w:rsidRDefault="001D0C0B" w:rsidP="00F24BCC">
      <w:pPr>
        <w:rPr>
          <w:u w:val="single"/>
        </w:rPr>
      </w:pPr>
    </w:p>
    <w:p w:rsidR="00F24BCC" w:rsidRDefault="00F24BCC" w:rsidP="005E53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10"/>
        <w:gridCol w:w="2576"/>
        <w:gridCol w:w="2046"/>
      </w:tblGrid>
      <w:tr w:rsidR="00F24BCC" w:rsidRPr="007A600D" w:rsidTr="00E060FB">
        <w:tc>
          <w:tcPr>
            <w:tcW w:w="3510" w:type="dxa"/>
          </w:tcPr>
          <w:p w:rsidR="00F24BCC" w:rsidRPr="007A600D" w:rsidRDefault="00F24BCC" w:rsidP="00E060FB">
            <w:pPr>
              <w:spacing w:after="0" w:line="240" w:lineRule="auto"/>
              <w:rPr>
                <w:rFonts w:ascii="Arial" w:hAnsi="Arial" w:cs="Arial"/>
                <w:b/>
              </w:rPr>
            </w:pPr>
            <w:r w:rsidRPr="007A600D">
              <w:rPr>
                <w:rFonts w:ascii="Arial" w:hAnsi="Arial" w:cs="Arial"/>
                <w:b/>
              </w:rPr>
              <w:t>Action</w:t>
            </w:r>
          </w:p>
        </w:tc>
        <w:tc>
          <w:tcPr>
            <w:tcW w:w="1110" w:type="dxa"/>
          </w:tcPr>
          <w:p w:rsidR="00F24BCC" w:rsidRPr="007A600D" w:rsidRDefault="00F24BCC" w:rsidP="00E060FB">
            <w:pPr>
              <w:spacing w:after="0" w:line="240" w:lineRule="auto"/>
              <w:rPr>
                <w:rFonts w:ascii="Arial" w:hAnsi="Arial" w:cs="Arial"/>
                <w:b/>
              </w:rPr>
            </w:pPr>
            <w:r w:rsidRPr="007A600D">
              <w:rPr>
                <w:rFonts w:ascii="Arial" w:hAnsi="Arial" w:cs="Arial"/>
                <w:b/>
              </w:rPr>
              <w:t>Time frame</w:t>
            </w:r>
          </w:p>
        </w:tc>
        <w:tc>
          <w:tcPr>
            <w:tcW w:w="2576" w:type="dxa"/>
          </w:tcPr>
          <w:p w:rsidR="00F24BCC" w:rsidRPr="007A600D" w:rsidRDefault="00F24BCC" w:rsidP="00E060FB">
            <w:pPr>
              <w:spacing w:after="0" w:line="240" w:lineRule="auto"/>
              <w:rPr>
                <w:rFonts w:ascii="Arial" w:hAnsi="Arial" w:cs="Arial"/>
                <w:b/>
              </w:rPr>
            </w:pPr>
            <w:r w:rsidRPr="007A600D">
              <w:rPr>
                <w:rFonts w:ascii="Arial" w:hAnsi="Arial" w:cs="Arial"/>
                <w:b/>
              </w:rPr>
              <w:t>Responsibility</w:t>
            </w:r>
          </w:p>
        </w:tc>
        <w:tc>
          <w:tcPr>
            <w:tcW w:w="2046" w:type="dxa"/>
          </w:tcPr>
          <w:p w:rsidR="00F24BCC" w:rsidRDefault="00F24BCC" w:rsidP="00E060FB">
            <w:pPr>
              <w:spacing w:after="0" w:line="240" w:lineRule="auto"/>
              <w:rPr>
                <w:rFonts w:ascii="Arial" w:hAnsi="Arial" w:cs="Arial"/>
                <w:b/>
              </w:rPr>
            </w:pPr>
            <w:r w:rsidRPr="007A600D">
              <w:rPr>
                <w:rFonts w:ascii="Arial" w:hAnsi="Arial" w:cs="Arial"/>
                <w:b/>
              </w:rPr>
              <w:t>Resources</w:t>
            </w:r>
          </w:p>
          <w:p w:rsidR="00F24BCC" w:rsidRPr="007A600D" w:rsidRDefault="00F24BCC" w:rsidP="00E060FB">
            <w:pPr>
              <w:spacing w:after="0" w:line="240" w:lineRule="auto"/>
              <w:rPr>
                <w:rFonts w:ascii="Arial" w:hAnsi="Arial" w:cs="Arial"/>
                <w:b/>
              </w:rPr>
            </w:pPr>
          </w:p>
        </w:tc>
      </w:tr>
      <w:tr w:rsidR="00F24BCC" w:rsidRPr="007A600D" w:rsidTr="00E060FB">
        <w:tc>
          <w:tcPr>
            <w:tcW w:w="3510" w:type="dxa"/>
          </w:tcPr>
          <w:p w:rsidR="00F24BCC" w:rsidRPr="007A600D" w:rsidRDefault="00F24BCC" w:rsidP="00E060FB">
            <w:pPr>
              <w:spacing w:after="0" w:line="240" w:lineRule="auto"/>
              <w:rPr>
                <w:rFonts w:ascii="Arial" w:hAnsi="Arial" w:cs="Arial"/>
                <w:b/>
              </w:rPr>
            </w:pPr>
          </w:p>
        </w:tc>
        <w:tc>
          <w:tcPr>
            <w:tcW w:w="1110" w:type="dxa"/>
          </w:tcPr>
          <w:p w:rsidR="00F24BCC" w:rsidRPr="007A600D" w:rsidRDefault="00F24BCC" w:rsidP="00E060FB">
            <w:pPr>
              <w:spacing w:after="0" w:line="240" w:lineRule="auto"/>
              <w:rPr>
                <w:rFonts w:ascii="Arial" w:hAnsi="Arial" w:cs="Arial"/>
                <w:b/>
              </w:rPr>
            </w:pPr>
          </w:p>
        </w:tc>
        <w:tc>
          <w:tcPr>
            <w:tcW w:w="2576" w:type="dxa"/>
          </w:tcPr>
          <w:p w:rsidR="00F24BCC" w:rsidRPr="007A600D" w:rsidRDefault="00F24BCC" w:rsidP="00E060FB">
            <w:pPr>
              <w:spacing w:after="0" w:line="240" w:lineRule="auto"/>
              <w:rPr>
                <w:rFonts w:ascii="Arial" w:hAnsi="Arial" w:cs="Arial"/>
                <w:b/>
              </w:rPr>
            </w:pPr>
          </w:p>
        </w:tc>
        <w:tc>
          <w:tcPr>
            <w:tcW w:w="2046" w:type="dxa"/>
          </w:tcPr>
          <w:p w:rsidR="00F24BCC" w:rsidRPr="007A600D" w:rsidRDefault="00F24BCC" w:rsidP="00E060FB">
            <w:pPr>
              <w:spacing w:after="0" w:line="240" w:lineRule="auto"/>
              <w:rPr>
                <w:rFonts w:ascii="Arial" w:hAnsi="Arial" w:cs="Arial"/>
                <w:b/>
              </w:rPr>
            </w:pPr>
          </w:p>
        </w:tc>
      </w:tr>
      <w:tr w:rsidR="00F24BCC" w:rsidRPr="007A600D" w:rsidTr="00E060FB">
        <w:tc>
          <w:tcPr>
            <w:tcW w:w="3510" w:type="dxa"/>
          </w:tcPr>
          <w:p w:rsidR="00F24BCC" w:rsidRPr="007A600D" w:rsidRDefault="00F24BCC" w:rsidP="00E060FB">
            <w:pPr>
              <w:spacing w:after="0" w:line="240" w:lineRule="auto"/>
              <w:rPr>
                <w:rFonts w:ascii="Arial" w:hAnsi="Arial" w:cs="Arial"/>
                <w:b/>
              </w:rPr>
            </w:pPr>
          </w:p>
        </w:tc>
        <w:tc>
          <w:tcPr>
            <w:tcW w:w="1110" w:type="dxa"/>
          </w:tcPr>
          <w:p w:rsidR="00F24BCC" w:rsidRPr="007A600D" w:rsidRDefault="00F24BCC" w:rsidP="00E060FB">
            <w:pPr>
              <w:spacing w:after="0" w:line="240" w:lineRule="auto"/>
              <w:rPr>
                <w:rFonts w:ascii="Arial" w:hAnsi="Arial" w:cs="Arial"/>
                <w:b/>
              </w:rPr>
            </w:pPr>
          </w:p>
        </w:tc>
        <w:tc>
          <w:tcPr>
            <w:tcW w:w="2576" w:type="dxa"/>
          </w:tcPr>
          <w:p w:rsidR="00F24BCC" w:rsidRPr="007A600D" w:rsidRDefault="00F24BCC" w:rsidP="00E060FB">
            <w:pPr>
              <w:spacing w:after="0" w:line="240" w:lineRule="auto"/>
              <w:rPr>
                <w:rFonts w:ascii="Arial" w:hAnsi="Arial" w:cs="Arial"/>
                <w:b/>
              </w:rPr>
            </w:pPr>
          </w:p>
        </w:tc>
        <w:tc>
          <w:tcPr>
            <w:tcW w:w="2046" w:type="dxa"/>
          </w:tcPr>
          <w:p w:rsidR="00F24BCC" w:rsidRPr="007A600D" w:rsidRDefault="00F24BCC" w:rsidP="00E060FB">
            <w:pPr>
              <w:spacing w:after="0" w:line="240" w:lineRule="auto"/>
              <w:rPr>
                <w:rFonts w:ascii="Arial" w:hAnsi="Arial" w:cs="Arial"/>
                <w:b/>
              </w:rPr>
            </w:pPr>
          </w:p>
        </w:tc>
      </w:tr>
      <w:tr w:rsidR="00F24BCC" w:rsidRPr="007A600D" w:rsidTr="00E060FB">
        <w:tc>
          <w:tcPr>
            <w:tcW w:w="3510" w:type="dxa"/>
          </w:tcPr>
          <w:p w:rsidR="00F24BCC" w:rsidRPr="007A600D" w:rsidRDefault="00F24BCC" w:rsidP="00E060FB">
            <w:pPr>
              <w:spacing w:after="0" w:line="240" w:lineRule="auto"/>
              <w:rPr>
                <w:rFonts w:ascii="Arial" w:hAnsi="Arial" w:cs="Arial"/>
                <w:b/>
              </w:rPr>
            </w:pPr>
          </w:p>
        </w:tc>
        <w:tc>
          <w:tcPr>
            <w:tcW w:w="1110" w:type="dxa"/>
          </w:tcPr>
          <w:p w:rsidR="00F24BCC" w:rsidRPr="007A600D" w:rsidRDefault="00F24BCC" w:rsidP="00E060FB">
            <w:pPr>
              <w:spacing w:after="0" w:line="240" w:lineRule="auto"/>
              <w:rPr>
                <w:rFonts w:ascii="Arial" w:hAnsi="Arial" w:cs="Arial"/>
                <w:b/>
              </w:rPr>
            </w:pPr>
          </w:p>
        </w:tc>
        <w:tc>
          <w:tcPr>
            <w:tcW w:w="2576" w:type="dxa"/>
          </w:tcPr>
          <w:p w:rsidR="00F24BCC" w:rsidRPr="007A600D" w:rsidRDefault="00F24BCC" w:rsidP="00E060FB">
            <w:pPr>
              <w:spacing w:after="0" w:line="240" w:lineRule="auto"/>
              <w:rPr>
                <w:rFonts w:ascii="Arial" w:hAnsi="Arial" w:cs="Arial"/>
                <w:b/>
              </w:rPr>
            </w:pPr>
          </w:p>
        </w:tc>
        <w:tc>
          <w:tcPr>
            <w:tcW w:w="2046" w:type="dxa"/>
          </w:tcPr>
          <w:p w:rsidR="00F24BCC" w:rsidRPr="007A600D" w:rsidRDefault="00F24BCC" w:rsidP="00E060FB">
            <w:pPr>
              <w:spacing w:after="0" w:line="240" w:lineRule="auto"/>
              <w:rPr>
                <w:rFonts w:ascii="Arial" w:hAnsi="Arial" w:cs="Arial"/>
                <w:b/>
              </w:rPr>
            </w:pPr>
          </w:p>
        </w:tc>
      </w:tr>
      <w:tr w:rsidR="00F24BCC" w:rsidRPr="007A600D" w:rsidTr="00E060FB">
        <w:tc>
          <w:tcPr>
            <w:tcW w:w="3510" w:type="dxa"/>
          </w:tcPr>
          <w:p w:rsidR="00F24BCC" w:rsidRPr="007A600D" w:rsidRDefault="00F24BCC" w:rsidP="00E060FB">
            <w:pPr>
              <w:spacing w:after="0" w:line="240" w:lineRule="auto"/>
              <w:rPr>
                <w:rFonts w:ascii="Arial" w:hAnsi="Arial" w:cs="Arial"/>
                <w:b/>
              </w:rPr>
            </w:pPr>
          </w:p>
        </w:tc>
        <w:tc>
          <w:tcPr>
            <w:tcW w:w="1110" w:type="dxa"/>
          </w:tcPr>
          <w:p w:rsidR="00F24BCC" w:rsidRPr="007A600D" w:rsidRDefault="00F24BCC" w:rsidP="00E060FB">
            <w:pPr>
              <w:spacing w:after="0" w:line="240" w:lineRule="auto"/>
              <w:rPr>
                <w:rFonts w:ascii="Arial" w:hAnsi="Arial" w:cs="Arial"/>
                <w:b/>
              </w:rPr>
            </w:pPr>
          </w:p>
        </w:tc>
        <w:tc>
          <w:tcPr>
            <w:tcW w:w="2576" w:type="dxa"/>
          </w:tcPr>
          <w:p w:rsidR="00F24BCC" w:rsidRPr="007A600D" w:rsidRDefault="00F24BCC" w:rsidP="00E060FB">
            <w:pPr>
              <w:spacing w:after="0" w:line="240" w:lineRule="auto"/>
              <w:rPr>
                <w:rFonts w:ascii="Arial" w:hAnsi="Arial" w:cs="Arial"/>
                <w:b/>
              </w:rPr>
            </w:pPr>
          </w:p>
        </w:tc>
        <w:tc>
          <w:tcPr>
            <w:tcW w:w="2046" w:type="dxa"/>
          </w:tcPr>
          <w:p w:rsidR="00F24BCC" w:rsidRPr="007A600D" w:rsidRDefault="00F24BCC" w:rsidP="00E060FB">
            <w:pPr>
              <w:spacing w:after="0" w:line="240" w:lineRule="auto"/>
              <w:rPr>
                <w:rFonts w:ascii="Arial" w:hAnsi="Arial" w:cs="Arial"/>
                <w:b/>
              </w:rPr>
            </w:pPr>
          </w:p>
        </w:tc>
      </w:tr>
      <w:tr w:rsidR="00F24BCC" w:rsidRPr="007A600D" w:rsidTr="00E060FB">
        <w:tc>
          <w:tcPr>
            <w:tcW w:w="3510" w:type="dxa"/>
          </w:tcPr>
          <w:p w:rsidR="00F24BCC" w:rsidRPr="007A600D" w:rsidRDefault="00F24BCC" w:rsidP="00E060FB">
            <w:pPr>
              <w:spacing w:after="0" w:line="240" w:lineRule="auto"/>
              <w:rPr>
                <w:rFonts w:ascii="Arial" w:hAnsi="Arial" w:cs="Arial"/>
                <w:b/>
              </w:rPr>
            </w:pPr>
          </w:p>
        </w:tc>
        <w:tc>
          <w:tcPr>
            <w:tcW w:w="1110" w:type="dxa"/>
          </w:tcPr>
          <w:p w:rsidR="00F24BCC" w:rsidRPr="007A600D" w:rsidRDefault="00F24BCC" w:rsidP="00E060FB">
            <w:pPr>
              <w:spacing w:after="0" w:line="240" w:lineRule="auto"/>
              <w:rPr>
                <w:rFonts w:ascii="Arial" w:hAnsi="Arial" w:cs="Arial"/>
                <w:b/>
              </w:rPr>
            </w:pPr>
          </w:p>
        </w:tc>
        <w:tc>
          <w:tcPr>
            <w:tcW w:w="2576" w:type="dxa"/>
          </w:tcPr>
          <w:p w:rsidR="00F24BCC" w:rsidRPr="007A600D" w:rsidRDefault="00F24BCC" w:rsidP="00E060FB">
            <w:pPr>
              <w:spacing w:after="0" w:line="240" w:lineRule="auto"/>
              <w:rPr>
                <w:rFonts w:ascii="Arial" w:hAnsi="Arial" w:cs="Arial"/>
                <w:b/>
              </w:rPr>
            </w:pPr>
          </w:p>
        </w:tc>
        <w:tc>
          <w:tcPr>
            <w:tcW w:w="2046" w:type="dxa"/>
          </w:tcPr>
          <w:p w:rsidR="00F24BCC" w:rsidRPr="007A600D" w:rsidRDefault="00F24BCC" w:rsidP="00E060FB">
            <w:pPr>
              <w:spacing w:after="0" w:line="240" w:lineRule="auto"/>
              <w:rPr>
                <w:rFonts w:ascii="Arial" w:hAnsi="Arial" w:cs="Arial"/>
                <w:b/>
              </w:rPr>
            </w:pPr>
          </w:p>
        </w:tc>
      </w:tr>
    </w:tbl>
    <w:p w:rsidR="00147F2E" w:rsidRDefault="00147F2E"/>
    <w:p w:rsidR="005E5325" w:rsidRDefault="005E5325">
      <w:r>
        <w:t>We unfortunately did not get time to</w:t>
      </w:r>
      <w:r w:rsidR="001D0C0B">
        <w:t xml:space="preserve"> assign </w:t>
      </w:r>
      <w:r>
        <w:t>a list of tasks</w:t>
      </w:r>
      <w:r w:rsidR="001D0C0B">
        <w:t>.</w:t>
      </w:r>
    </w:p>
    <w:p w:rsidR="001D0C0B" w:rsidRDefault="001D0C0B">
      <w:r>
        <w:t>It would be good to have a follow up meeting to attend to this.</w:t>
      </w:r>
    </w:p>
    <w:sectPr w:rsidR="001D0C0B" w:rsidSect="00153993">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25" w:rsidRDefault="005E5325" w:rsidP="00153993">
      <w:pPr>
        <w:spacing w:after="0" w:line="240" w:lineRule="auto"/>
      </w:pPr>
      <w:r>
        <w:separator/>
      </w:r>
    </w:p>
  </w:endnote>
  <w:endnote w:type="continuationSeparator" w:id="0">
    <w:p w:rsidR="005E5325" w:rsidRDefault="005E5325" w:rsidP="001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25" w:rsidRDefault="005E5325" w:rsidP="00153993">
      <w:pPr>
        <w:spacing w:after="0" w:line="240" w:lineRule="auto"/>
      </w:pPr>
      <w:r>
        <w:separator/>
      </w:r>
    </w:p>
  </w:footnote>
  <w:footnote w:type="continuationSeparator" w:id="0">
    <w:p w:rsidR="005E5325" w:rsidRDefault="005E5325" w:rsidP="001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328062"/>
      <w:docPartObj>
        <w:docPartGallery w:val="Page Numbers (Top of Page)"/>
        <w:docPartUnique/>
      </w:docPartObj>
    </w:sdtPr>
    <w:sdtEndPr>
      <w:rPr>
        <w:noProof/>
      </w:rPr>
    </w:sdtEndPr>
    <w:sdtContent>
      <w:p w:rsidR="005E5325" w:rsidRDefault="005E5325" w:rsidP="00153993">
        <w:pPr>
          <w:pStyle w:val="Header"/>
          <w:pBdr>
            <w:bottom w:val="single" w:sz="4" w:space="1" w:color="auto"/>
          </w:pBdr>
          <w:jc w:val="right"/>
        </w:pPr>
        <w:r>
          <w:fldChar w:fldCharType="begin"/>
        </w:r>
        <w:r>
          <w:instrText xml:space="preserve"> PAGE   \* MERGEFORMAT </w:instrText>
        </w:r>
        <w:r>
          <w:fldChar w:fldCharType="separate"/>
        </w:r>
        <w:r w:rsidR="001D0C0B">
          <w:rPr>
            <w:noProof/>
          </w:rPr>
          <w:t>2</w:t>
        </w:r>
        <w:r>
          <w:rPr>
            <w:noProof/>
          </w:rPr>
          <w:fldChar w:fldCharType="end"/>
        </w:r>
      </w:p>
    </w:sdtContent>
  </w:sdt>
  <w:p w:rsidR="005E5325" w:rsidRDefault="005E5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17E9F"/>
    <w:multiLevelType w:val="hybridMultilevel"/>
    <w:tmpl w:val="85B8505A"/>
    <w:lvl w:ilvl="0" w:tplc="FDBEF8B2">
      <w:start w:val="1"/>
      <w:numFmt w:val="decimal"/>
      <w:lvlText w:val="%1."/>
      <w:lvlJc w:val="left"/>
      <w:pPr>
        <w:ind w:left="465" w:hanging="4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CC"/>
    <w:rsid w:val="00147F2E"/>
    <w:rsid w:val="00153993"/>
    <w:rsid w:val="001D0C0B"/>
    <w:rsid w:val="00323734"/>
    <w:rsid w:val="004F7A66"/>
    <w:rsid w:val="005E5325"/>
    <w:rsid w:val="00B83860"/>
    <w:rsid w:val="00E060FB"/>
    <w:rsid w:val="00F24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CC"/>
    <w:pPr>
      <w:spacing w:after="0" w:line="240" w:lineRule="auto"/>
      <w:ind w:left="720"/>
    </w:pPr>
    <w:rPr>
      <w:rFonts w:eastAsiaTheme="minorHAnsi"/>
      <w:lang w:eastAsia="en-AU"/>
    </w:rPr>
  </w:style>
  <w:style w:type="paragraph" w:styleId="Header">
    <w:name w:val="header"/>
    <w:basedOn w:val="Normal"/>
    <w:link w:val="HeaderChar"/>
    <w:uiPriority w:val="99"/>
    <w:unhideWhenUsed/>
    <w:rsid w:val="00153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993"/>
    <w:rPr>
      <w:rFonts w:ascii="Calibri" w:eastAsia="Calibri" w:hAnsi="Calibri" w:cs="Times New Roman"/>
    </w:rPr>
  </w:style>
  <w:style w:type="paragraph" w:styleId="Footer">
    <w:name w:val="footer"/>
    <w:basedOn w:val="Normal"/>
    <w:link w:val="FooterChar"/>
    <w:uiPriority w:val="99"/>
    <w:unhideWhenUsed/>
    <w:rsid w:val="00153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9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CC"/>
    <w:pPr>
      <w:spacing w:after="0" w:line="240" w:lineRule="auto"/>
      <w:ind w:left="720"/>
    </w:pPr>
    <w:rPr>
      <w:rFonts w:eastAsiaTheme="minorHAnsi"/>
      <w:lang w:eastAsia="en-AU"/>
    </w:rPr>
  </w:style>
  <w:style w:type="paragraph" w:styleId="Header">
    <w:name w:val="header"/>
    <w:basedOn w:val="Normal"/>
    <w:link w:val="HeaderChar"/>
    <w:uiPriority w:val="99"/>
    <w:unhideWhenUsed/>
    <w:rsid w:val="00153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993"/>
    <w:rPr>
      <w:rFonts w:ascii="Calibri" w:eastAsia="Calibri" w:hAnsi="Calibri" w:cs="Times New Roman"/>
    </w:rPr>
  </w:style>
  <w:style w:type="paragraph" w:styleId="Footer">
    <w:name w:val="footer"/>
    <w:basedOn w:val="Normal"/>
    <w:link w:val="FooterChar"/>
    <w:uiPriority w:val="99"/>
    <w:unhideWhenUsed/>
    <w:rsid w:val="00153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9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4F271F77</Template>
  <TotalTime>1</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McDougall</dc:creator>
  <cp:lastModifiedBy>Scott McDougall</cp:lastModifiedBy>
  <cp:revision>2</cp:revision>
  <dcterms:created xsi:type="dcterms:W3CDTF">2013-11-26T06:01:00Z</dcterms:created>
  <dcterms:modified xsi:type="dcterms:W3CDTF">2013-11-26T06:01:00Z</dcterms:modified>
</cp:coreProperties>
</file>