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541DB" w14:textId="720959FF" w:rsidR="00AF5A50" w:rsidRPr="008F71B3" w:rsidRDefault="00F4666C" w:rsidP="00F4666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6BCE8BE9" wp14:editId="73144FC4">
            <wp:extent cx="1291590" cy="1104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CQ-LOGO-Portrait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7E75F" w14:textId="77777777" w:rsidR="00F4666C" w:rsidRDefault="00F4666C" w:rsidP="00F4666C">
      <w:pPr>
        <w:rPr>
          <w:rFonts w:ascii="Arial" w:hAnsi="Arial" w:cs="Arial"/>
          <w:b/>
          <w:caps/>
          <w:sz w:val="32"/>
          <w:szCs w:val="32"/>
        </w:rPr>
      </w:pPr>
    </w:p>
    <w:p w14:paraId="5C8FA50E" w14:textId="39D12F44" w:rsidR="005C70DA" w:rsidRPr="00C10E93" w:rsidRDefault="009D2EF7" w:rsidP="00F4666C">
      <w:pPr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201</w:t>
      </w:r>
      <w:r w:rsidR="009C772D">
        <w:rPr>
          <w:rFonts w:ascii="Arial" w:hAnsi="Arial" w:cs="Arial"/>
          <w:b/>
          <w:caps/>
          <w:sz w:val="32"/>
          <w:szCs w:val="32"/>
        </w:rPr>
        <w:t xml:space="preserve">7 </w:t>
      </w:r>
      <w:r w:rsidR="004E41CA">
        <w:rPr>
          <w:rFonts w:ascii="Arial" w:hAnsi="Arial" w:cs="Arial"/>
          <w:b/>
          <w:caps/>
          <w:sz w:val="32"/>
          <w:szCs w:val="32"/>
        </w:rPr>
        <w:t>LEADERSHIP FORUM</w:t>
      </w:r>
    </w:p>
    <w:p w14:paraId="36C19F47" w14:textId="7080D65A" w:rsidR="00C10E93" w:rsidRDefault="001A5EA9" w:rsidP="00F4666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Travel subsidy</w:t>
      </w:r>
    </w:p>
    <w:p w14:paraId="0B1CD159" w14:textId="77777777" w:rsidR="00F4666C" w:rsidRDefault="00F4666C" w:rsidP="00C10E93">
      <w:pPr>
        <w:jc w:val="center"/>
        <w:rPr>
          <w:rFonts w:ascii="Arial" w:hAnsi="Arial" w:cs="Arial"/>
          <w:b/>
          <w:sz w:val="32"/>
          <w:szCs w:val="32"/>
        </w:rPr>
        <w:sectPr w:rsidR="00F4666C" w:rsidSect="00F4666C">
          <w:pgSz w:w="11900" w:h="16840"/>
          <w:pgMar w:top="284" w:right="720" w:bottom="720" w:left="720" w:header="708" w:footer="708" w:gutter="0"/>
          <w:cols w:num="2" w:space="720" w:equalWidth="0">
            <w:col w:w="3006" w:space="720"/>
            <w:col w:w="6732"/>
          </w:cols>
          <w:docGrid w:linePitch="360"/>
        </w:sectPr>
      </w:pPr>
    </w:p>
    <w:p w14:paraId="085A0A1D" w14:textId="6D44FFF8" w:rsidR="00C10E93" w:rsidRPr="00C10E93" w:rsidRDefault="00C10E93" w:rsidP="00C10E93">
      <w:pPr>
        <w:jc w:val="center"/>
        <w:rPr>
          <w:rFonts w:ascii="Arial" w:hAnsi="Arial" w:cs="Arial"/>
          <w:b/>
          <w:sz w:val="32"/>
          <w:szCs w:val="32"/>
        </w:rPr>
      </w:pPr>
    </w:p>
    <w:p w14:paraId="06C2B771" w14:textId="77777777" w:rsidR="00F4666C" w:rsidRDefault="009D2EF7" w:rsidP="00C10E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annual Community Legal Centers Queensland</w:t>
      </w:r>
      <w:r w:rsidR="00C10E93" w:rsidRPr="00C10E93">
        <w:rPr>
          <w:rFonts w:ascii="Arial" w:hAnsi="Arial" w:cs="Arial"/>
          <w:sz w:val="20"/>
          <w:szCs w:val="20"/>
        </w:rPr>
        <w:t xml:space="preserve"> </w:t>
      </w:r>
      <w:r w:rsidR="00C35275">
        <w:rPr>
          <w:rFonts w:ascii="Arial" w:hAnsi="Arial" w:cs="Arial"/>
          <w:sz w:val="20"/>
          <w:szCs w:val="20"/>
        </w:rPr>
        <w:t>workshop</w:t>
      </w:r>
      <w:r w:rsidR="00C10E93" w:rsidRPr="00C10E93">
        <w:rPr>
          <w:rFonts w:ascii="Arial" w:hAnsi="Arial" w:cs="Arial"/>
          <w:sz w:val="20"/>
          <w:szCs w:val="20"/>
        </w:rPr>
        <w:t xml:space="preserve"> is one of the premier events in the community legal centre calendar. The workshop is an opportunity to develop and strengthen </w:t>
      </w:r>
      <w:r w:rsidR="006360D9">
        <w:rPr>
          <w:rFonts w:ascii="Arial" w:hAnsi="Arial" w:cs="Arial"/>
          <w:sz w:val="20"/>
          <w:szCs w:val="20"/>
        </w:rPr>
        <w:t>staff member</w:t>
      </w:r>
      <w:r w:rsidR="00C10E93" w:rsidRPr="00C10E93">
        <w:rPr>
          <w:rFonts w:ascii="Arial" w:hAnsi="Arial" w:cs="Arial"/>
          <w:sz w:val="20"/>
          <w:szCs w:val="20"/>
        </w:rPr>
        <w:t xml:space="preserve"> skills, increase </w:t>
      </w:r>
      <w:r w:rsidR="006360D9">
        <w:rPr>
          <w:rFonts w:ascii="Arial" w:hAnsi="Arial" w:cs="Arial"/>
          <w:sz w:val="20"/>
          <w:szCs w:val="20"/>
        </w:rPr>
        <w:t>their</w:t>
      </w:r>
      <w:r w:rsidR="00C10E93" w:rsidRPr="00C10E93">
        <w:rPr>
          <w:rFonts w:ascii="Arial" w:hAnsi="Arial" w:cs="Arial"/>
          <w:sz w:val="20"/>
          <w:szCs w:val="20"/>
        </w:rPr>
        <w:t xml:space="preserve"> knowledge base and network with people working in the field.  </w:t>
      </w:r>
    </w:p>
    <w:p w14:paraId="73B1386E" w14:textId="77777777" w:rsidR="00F4666C" w:rsidRDefault="00F4666C" w:rsidP="00C10E93">
      <w:pPr>
        <w:rPr>
          <w:rFonts w:ascii="Arial" w:hAnsi="Arial" w:cs="Arial"/>
          <w:sz w:val="20"/>
          <w:szCs w:val="20"/>
        </w:rPr>
      </w:pPr>
    </w:p>
    <w:p w14:paraId="5D164F6C" w14:textId="2F76C73A" w:rsidR="005C70DA" w:rsidRDefault="00CB3AAF" w:rsidP="005C70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Legal Centre</w:t>
      </w:r>
      <w:r w:rsidR="009D2EF7">
        <w:rPr>
          <w:rFonts w:ascii="Arial" w:hAnsi="Arial" w:cs="Arial"/>
          <w:sz w:val="20"/>
          <w:szCs w:val="20"/>
        </w:rPr>
        <w:t xml:space="preserve">s Queensland </w:t>
      </w:r>
      <w:r w:rsidR="00C10E93" w:rsidRPr="00C10E93">
        <w:rPr>
          <w:rFonts w:ascii="Arial" w:hAnsi="Arial" w:cs="Arial"/>
          <w:sz w:val="20"/>
          <w:szCs w:val="20"/>
        </w:rPr>
        <w:t xml:space="preserve">has </w:t>
      </w:r>
      <w:r w:rsidR="009D2EF7">
        <w:rPr>
          <w:rFonts w:ascii="Arial" w:hAnsi="Arial" w:cs="Arial"/>
          <w:sz w:val="20"/>
          <w:szCs w:val="20"/>
        </w:rPr>
        <w:t>alloc</w:t>
      </w:r>
      <w:r w:rsidR="00CE0C47">
        <w:rPr>
          <w:rFonts w:ascii="Arial" w:hAnsi="Arial" w:cs="Arial"/>
          <w:sz w:val="20"/>
          <w:szCs w:val="20"/>
        </w:rPr>
        <w:t>a</w:t>
      </w:r>
      <w:r w:rsidR="009D2EF7">
        <w:rPr>
          <w:rFonts w:ascii="Arial" w:hAnsi="Arial" w:cs="Arial"/>
          <w:sz w:val="20"/>
          <w:szCs w:val="20"/>
        </w:rPr>
        <w:t>ted fu</w:t>
      </w:r>
      <w:r w:rsidR="00C10E93" w:rsidRPr="00C10E93">
        <w:rPr>
          <w:rFonts w:ascii="Arial" w:hAnsi="Arial" w:cs="Arial"/>
          <w:sz w:val="20"/>
          <w:szCs w:val="20"/>
        </w:rPr>
        <w:t xml:space="preserve">nding to bring ten community legal centre staff to the </w:t>
      </w:r>
      <w:r w:rsidR="00C35275">
        <w:rPr>
          <w:rFonts w:ascii="Arial" w:hAnsi="Arial" w:cs="Arial"/>
          <w:sz w:val="20"/>
          <w:szCs w:val="20"/>
        </w:rPr>
        <w:t xml:space="preserve">workshop. This year, as the event is being held in Townsville, the </w:t>
      </w:r>
      <w:r w:rsidR="004F2661">
        <w:rPr>
          <w:rFonts w:ascii="Arial" w:hAnsi="Arial" w:cs="Arial"/>
          <w:sz w:val="20"/>
          <w:szCs w:val="20"/>
        </w:rPr>
        <w:t>subsidy</w:t>
      </w:r>
      <w:bookmarkStart w:id="0" w:name="_GoBack"/>
      <w:bookmarkEnd w:id="0"/>
      <w:r w:rsidR="004F2661">
        <w:rPr>
          <w:rFonts w:ascii="Arial" w:hAnsi="Arial" w:cs="Arial"/>
          <w:sz w:val="20"/>
          <w:szCs w:val="20"/>
        </w:rPr>
        <w:t xml:space="preserve"> is</w:t>
      </w:r>
      <w:r w:rsidR="00C35275">
        <w:rPr>
          <w:rFonts w:ascii="Arial" w:hAnsi="Arial" w:cs="Arial"/>
          <w:sz w:val="20"/>
          <w:szCs w:val="20"/>
        </w:rPr>
        <w:t xml:space="preserve"> available to centres that are located more than 200km from Townsville. </w:t>
      </w:r>
      <w:r w:rsidR="00C10E93" w:rsidRPr="00C10E93">
        <w:rPr>
          <w:rFonts w:ascii="Arial" w:hAnsi="Arial" w:cs="Arial"/>
          <w:sz w:val="20"/>
          <w:szCs w:val="20"/>
        </w:rPr>
        <w:t xml:space="preserve">The </w:t>
      </w:r>
      <w:r w:rsidR="009D2EF7">
        <w:rPr>
          <w:rFonts w:ascii="Arial" w:hAnsi="Arial" w:cs="Arial"/>
          <w:sz w:val="20"/>
          <w:szCs w:val="20"/>
        </w:rPr>
        <w:t>amount available is</w:t>
      </w:r>
      <w:r w:rsidR="00C10E93" w:rsidRPr="00C10E93">
        <w:rPr>
          <w:rFonts w:ascii="Arial" w:hAnsi="Arial" w:cs="Arial"/>
          <w:sz w:val="20"/>
          <w:szCs w:val="20"/>
        </w:rPr>
        <w:t xml:space="preserve"> $300 per</w:t>
      </w:r>
      <w:r w:rsidR="00A1685F">
        <w:rPr>
          <w:rFonts w:ascii="Arial" w:hAnsi="Arial" w:cs="Arial"/>
          <w:sz w:val="20"/>
          <w:szCs w:val="20"/>
        </w:rPr>
        <w:t xml:space="preserve"> centre</w:t>
      </w:r>
      <w:r w:rsidR="00C10E93" w:rsidRPr="00C10E93">
        <w:rPr>
          <w:rFonts w:ascii="Arial" w:hAnsi="Arial" w:cs="Arial"/>
          <w:sz w:val="20"/>
          <w:szCs w:val="20"/>
        </w:rPr>
        <w:t xml:space="preserve"> and can be used for travel </w:t>
      </w:r>
      <w:r w:rsidR="00A1685F">
        <w:rPr>
          <w:rFonts w:ascii="Arial" w:hAnsi="Arial" w:cs="Arial"/>
          <w:sz w:val="20"/>
          <w:szCs w:val="20"/>
        </w:rPr>
        <w:t xml:space="preserve">or accommodation. </w:t>
      </w:r>
      <w:r w:rsidR="005C70DA" w:rsidRPr="005C70DA">
        <w:rPr>
          <w:rFonts w:ascii="Arial" w:hAnsi="Arial" w:cs="Arial"/>
          <w:sz w:val="20"/>
          <w:szCs w:val="20"/>
        </w:rPr>
        <w:t xml:space="preserve">Centres that are eligible to apply for </w:t>
      </w:r>
      <w:r w:rsidR="009D2EF7">
        <w:rPr>
          <w:rFonts w:ascii="Arial" w:hAnsi="Arial" w:cs="Arial"/>
          <w:sz w:val="20"/>
          <w:szCs w:val="20"/>
        </w:rPr>
        <w:t>to the scheme</w:t>
      </w:r>
      <w:r w:rsidR="005C70DA" w:rsidRPr="005C70DA">
        <w:rPr>
          <w:rFonts w:ascii="Arial" w:hAnsi="Arial" w:cs="Arial"/>
          <w:sz w:val="20"/>
          <w:szCs w:val="20"/>
        </w:rPr>
        <w:t xml:space="preserve"> include: </w:t>
      </w:r>
    </w:p>
    <w:p w14:paraId="71F644B9" w14:textId="77777777" w:rsidR="009F137A" w:rsidRDefault="009F137A" w:rsidP="005C70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CB3AAF" w14:paraId="095E7170" w14:textId="77777777" w:rsidTr="00CB3AAF">
        <w:tc>
          <w:tcPr>
            <w:tcW w:w="5225" w:type="dxa"/>
          </w:tcPr>
          <w:p w14:paraId="7C6A18FD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0CA6">
              <w:rPr>
                <w:rFonts w:ascii="Arial" w:hAnsi="Arial" w:cs="Arial"/>
              </w:rPr>
              <w:t>Aboriginal Family Legal Service Southern Queensland</w:t>
            </w:r>
          </w:p>
          <w:p w14:paraId="0D4D9E25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Rights Qld</w:t>
            </w:r>
          </w:p>
          <w:p w14:paraId="75B8AB35" w14:textId="03B4B4A2" w:rsidR="00CB3AAF" w:rsidRPr="008F0CA6" w:rsidRDefault="00A1685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Bayside Community Legal Service</w:t>
            </w:r>
          </w:p>
          <w:p w14:paraId="488D122E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0CA6">
              <w:rPr>
                <w:rFonts w:ascii="Arial" w:hAnsi="Arial" w:cs="Arial"/>
              </w:rPr>
              <w:t>Cairns Community Legal Centre</w:t>
            </w:r>
          </w:p>
          <w:p w14:paraId="66FF4759" w14:textId="77777777" w:rsidR="00CB3AAF" w:rsidRPr="008F0CA6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Caxton Legal Centre</w:t>
            </w:r>
          </w:p>
          <w:p w14:paraId="6A611CF6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0CA6">
              <w:rPr>
                <w:rFonts w:ascii="Arial" w:hAnsi="Arial" w:cs="Arial"/>
              </w:rPr>
              <w:t>Central Queensland Community Legal Centre</w:t>
            </w:r>
          </w:p>
          <w:p w14:paraId="2AA0FE55" w14:textId="77777777" w:rsidR="00CB3AAF" w:rsidRPr="008F0CA6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Defenders Office Qld</w:t>
            </w:r>
          </w:p>
          <w:p w14:paraId="7D49CB1B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0CA6">
              <w:rPr>
                <w:rFonts w:ascii="Arial" w:hAnsi="Arial" w:cs="Arial"/>
              </w:rPr>
              <w:t>Enviro</w:t>
            </w:r>
            <w:r>
              <w:rPr>
                <w:rFonts w:ascii="Arial" w:hAnsi="Arial" w:cs="Arial"/>
              </w:rPr>
              <w:t>n</w:t>
            </w:r>
            <w:r w:rsidRPr="008F0CA6">
              <w:rPr>
                <w:rFonts w:ascii="Arial" w:hAnsi="Arial" w:cs="Arial"/>
              </w:rPr>
              <w:t>mental Defenders Office of N</w:t>
            </w:r>
            <w:r>
              <w:rPr>
                <w:rFonts w:ascii="Arial" w:hAnsi="Arial" w:cs="Arial"/>
              </w:rPr>
              <w:t>orth Queensland</w:t>
            </w:r>
          </w:p>
          <w:p w14:paraId="1301CEE9" w14:textId="77777777" w:rsidR="00CB3AAF" w:rsidRPr="008F0CA6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 Coast Community Legal Centre </w:t>
            </w:r>
          </w:p>
          <w:p w14:paraId="476B7D1D" w14:textId="77777777" w:rsidR="00CB3AAF" w:rsidRPr="008F0CA6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0CA6">
              <w:rPr>
                <w:rFonts w:ascii="Arial" w:hAnsi="Arial" w:cs="Arial"/>
              </w:rPr>
              <w:t>Goondiwindi Community Legal Service</w:t>
            </w:r>
          </w:p>
          <w:p w14:paraId="01AB8B6B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0CA6">
              <w:rPr>
                <w:rFonts w:ascii="Arial" w:hAnsi="Arial" w:cs="Arial"/>
              </w:rPr>
              <w:t>Junkuri Laka Community Legal Centre Aboriginal Corporation</w:t>
            </w:r>
          </w:p>
          <w:p w14:paraId="21356A2F" w14:textId="19374114" w:rsidR="00A1685F" w:rsidRDefault="00A1685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Right</w:t>
            </w:r>
          </w:p>
          <w:p w14:paraId="2D103F18" w14:textId="77777777" w:rsidR="00CB3AAF" w:rsidRPr="008F0CA6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LGBTI Legal Service</w:t>
            </w:r>
          </w:p>
          <w:p w14:paraId="6351508A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0CA6">
              <w:rPr>
                <w:rFonts w:ascii="Arial" w:hAnsi="Arial" w:cs="Arial"/>
              </w:rPr>
              <w:t>Mackay Regional Community Legal Centre</w:t>
            </w:r>
          </w:p>
          <w:p w14:paraId="4DCA921C" w14:textId="3CA4E03F" w:rsidR="00CB3AAF" w:rsidRPr="00CB3AAF" w:rsidRDefault="00CB3AAF" w:rsidP="005C70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Moreton Bay Regional CLS</w:t>
            </w:r>
          </w:p>
        </w:tc>
        <w:tc>
          <w:tcPr>
            <w:tcW w:w="5225" w:type="dxa"/>
          </w:tcPr>
          <w:p w14:paraId="07327995" w14:textId="159EE340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NQ</w:t>
            </w:r>
            <w:r w:rsidRPr="008F0CA6">
              <w:rPr>
                <w:rFonts w:ascii="Arial" w:hAnsi="Arial" w:cs="Arial"/>
              </w:rPr>
              <w:t xml:space="preserve"> Women’s Legal Service</w:t>
            </w:r>
            <w:r>
              <w:rPr>
                <w:rFonts w:ascii="Arial" w:hAnsi="Arial" w:cs="Arial"/>
              </w:rPr>
              <w:t xml:space="preserve"> (Cairns)</w:t>
            </w:r>
          </w:p>
          <w:p w14:paraId="366EFCD5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Nundah Community Legal Service</w:t>
            </w:r>
          </w:p>
          <w:p w14:paraId="5AE63797" w14:textId="69E56A8C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Pine Rivers </w:t>
            </w:r>
            <w:r w:rsidR="00A1685F">
              <w:rPr>
                <w:rFonts w:ascii="Arial" w:hAnsi="Arial" w:cs="Arial"/>
              </w:rPr>
              <w:t>Community Legal Service</w:t>
            </w:r>
          </w:p>
          <w:p w14:paraId="4CEF8F3F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Prisoners Legal Service</w:t>
            </w:r>
          </w:p>
          <w:p w14:paraId="1D57333D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Queensland Advocacy Inc.</w:t>
            </w:r>
          </w:p>
          <w:p w14:paraId="35556C59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Queensland Indigenous family Violence Legal Service</w:t>
            </w:r>
          </w:p>
          <w:p w14:paraId="292A6D39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Refugee and Immigration Legal Service</w:t>
            </w:r>
          </w:p>
          <w:p w14:paraId="5BACE3D8" w14:textId="77777777" w:rsidR="00CB3AAF" w:rsidRP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Robina Community Legal Centre Inc.</w:t>
            </w:r>
          </w:p>
          <w:p w14:paraId="12ADC1E5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West Brisbane Community Legal Centre</w:t>
            </w:r>
          </w:p>
          <w:p w14:paraId="2EF41B4D" w14:textId="77777777" w:rsidR="00CB3AAF" w:rsidRPr="008F0CA6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Suncoast Community Legal Service</w:t>
            </w:r>
          </w:p>
          <w:p w14:paraId="65C819C9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0CA6">
              <w:rPr>
                <w:rFonts w:ascii="Arial" w:hAnsi="Arial" w:cs="Arial"/>
              </w:rPr>
              <w:t>Taylor Street Community Legal Service</w:t>
            </w:r>
          </w:p>
          <w:p w14:paraId="4892126E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Tenants Queensland</w:t>
            </w:r>
          </w:p>
          <w:p w14:paraId="26D9DAB5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TASC National</w:t>
            </w:r>
          </w:p>
          <w:p w14:paraId="0EA815F1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Women’s Legal Service </w:t>
            </w:r>
          </w:p>
          <w:p w14:paraId="615E7D44" w14:textId="77777777" w:rsidR="00CB3AAF" w:rsidRDefault="00CB3AAF" w:rsidP="00CB3A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YFS Legal</w:t>
            </w:r>
          </w:p>
          <w:p w14:paraId="6F54200C" w14:textId="053D2ED0" w:rsidR="00CB3AAF" w:rsidRPr="00CB3AAF" w:rsidRDefault="00CB3AAF" w:rsidP="005C70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Advocacy Centre</w:t>
            </w:r>
          </w:p>
        </w:tc>
      </w:tr>
    </w:tbl>
    <w:p w14:paraId="092D2CAB" w14:textId="77777777" w:rsidR="00CB3AAF" w:rsidRPr="005C70DA" w:rsidRDefault="00CB3AAF" w:rsidP="005C70DA">
      <w:pPr>
        <w:rPr>
          <w:rFonts w:ascii="Arial" w:hAnsi="Arial" w:cs="Arial"/>
          <w:sz w:val="20"/>
          <w:szCs w:val="20"/>
        </w:rPr>
      </w:pPr>
    </w:p>
    <w:p w14:paraId="3F8676D6" w14:textId="5AFE39D0" w:rsidR="0072252E" w:rsidRDefault="005C70DA" w:rsidP="00CB3AAF">
      <w:pPr>
        <w:rPr>
          <w:rFonts w:ascii="Arial" w:hAnsi="Arial" w:cs="Arial"/>
          <w:sz w:val="20"/>
          <w:szCs w:val="20"/>
        </w:rPr>
      </w:pPr>
      <w:r w:rsidRPr="003B54C3">
        <w:rPr>
          <w:rFonts w:ascii="Arial" w:hAnsi="Arial" w:cs="Arial"/>
          <w:sz w:val="20"/>
          <w:szCs w:val="20"/>
        </w:rPr>
        <w:t xml:space="preserve">To </w:t>
      </w:r>
      <w:r w:rsidR="00C10E93">
        <w:rPr>
          <w:rFonts w:ascii="Arial" w:hAnsi="Arial" w:cs="Arial"/>
          <w:sz w:val="20"/>
          <w:szCs w:val="20"/>
        </w:rPr>
        <w:t xml:space="preserve">apply for the </w:t>
      </w:r>
      <w:r w:rsidR="009C772D">
        <w:rPr>
          <w:rFonts w:ascii="Arial" w:hAnsi="Arial" w:cs="Arial"/>
          <w:sz w:val="20"/>
          <w:szCs w:val="20"/>
        </w:rPr>
        <w:t>funding</w:t>
      </w:r>
      <w:r w:rsidR="00C10E93">
        <w:rPr>
          <w:rFonts w:ascii="Arial" w:hAnsi="Arial" w:cs="Arial"/>
          <w:sz w:val="20"/>
          <w:szCs w:val="20"/>
        </w:rPr>
        <w:t xml:space="preserve">, please </w:t>
      </w:r>
      <w:r w:rsidRPr="003B54C3">
        <w:rPr>
          <w:rFonts w:ascii="Arial" w:hAnsi="Arial" w:cs="Arial"/>
          <w:sz w:val="20"/>
          <w:szCs w:val="20"/>
        </w:rPr>
        <w:t xml:space="preserve">complete </w:t>
      </w:r>
      <w:r w:rsidR="00A1685F">
        <w:rPr>
          <w:rFonts w:ascii="Arial" w:hAnsi="Arial" w:cs="Arial"/>
          <w:sz w:val="20"/>
          <w:szCs w:val="20"/>
        </w:rPr>
        <w:t>details below</w:t>
      </w:r>
      <w:r w:rsidR="00570766">
        <w:rPr>
          <w:rFonts w:ascii="Arial" w:hAnsi="Arial" w:cs="Arial"/>
          <w:sz w:val="20"/>
          <w:szCs w:val="20"/>
        </w:rPr>
        <w:t xml:space="preserve"> </w:t>
      </w:r>
      <w:r w:rsidRPr="003B54C3">
        <w:rPr>
          <w:rFonts w:ascii="Arial" w:hAnsi="Arial" w:cs="Arial"/>
          <w:sz w:val="20"/>
          <w:szCs w:val="20"/>
        </w:rPr>
        <w:t xml:space="preserve">and return to </w:t>
      </w:r>
      <w:r w:rsidR="009D2EF7">
        <w:rPr>
          <w:rFonts w:ascii="Arial" w:hAnsi="Arial" w:cs="Arial"/>
          <w:sz w:val="20"/>
          <w:szCs w:val="20"/>
        </w:rPr>
        <w:t>Community Legal Centers Queensland</w:t>
      </w:r>
      <w:r w:rsidRPr="003B54C3">
        <w:rPr>
          <w:rFonts w:ascii="Arial" w:hAnsi="Arial" w:cs="Arial"/>
          <w:sz w:val="20"/>
          <w:szCs w:val="20"/>
        </w:rPr>
        <w:t xml:space="preserve">, by post or email. </w:t>
      </w:r>
      <w:r w:rsidR="00EB21BA">
        <w:rPr>
          <w:rFonts w:ascii="Arial" w:hAnsi="Arial" w:cs="Arial"/>
          <w:sz w:val="20"/>
          <w:szCs w:val="20"/>
        </w:rPr>
        <w:t xml:space="preserve"> </w:t>
      </w:r>
    </w:p>
    <w:p w14:paraId="526968EF" w14:textId="77777777" w:rsidR="0072252E" w:rsidRDefault="0072252E" w:rsidP="00570766">
      <w:pPr>
        <w:jc w:val="both"/>
        <w:rPr>
          <w:rFonts w:ascii="Arial" w:hAnsi="Arial" w:cs="Arial"/>
          <w:sz w:val="20"/>
          <w:szCs w:val="20"/>
        </w:rPr>
      </w:pPr>
    </w:p>
    <w:p w14:paraId="66D95493" w14:textId="18E53A0F" w:rsidR="008F0CA6" w:rsidRPr="003B54C3" w:rsidRDefault="00EB21BA" w:rsidP="005707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72252E">
        <w:rPr>
          <w:rFonts w:ascii="Arial" w:hAnsi="Arial" w:cs="Arial"/>
          <w:sz w:val="20"/>
          <w:szCs w:val="20"/>
        </w:rPr>
        <w:t xml:space="preserve">your centre is selected for </w:t>
      </w:r>
      <w:r w:rsidR="0007382F">
        <w:rPr>
          <w:rFonts w:ascii="Arial" w:hAnsi="Arial" w:cs="Arial"/>
          <w:sz w:val="20"/>
          <w:szCs w:val="20"/>
        </w:rPr>
        <w:t>funding</w:t>
      </w:r>
      <w:r w:rsidR="0072252E">
        <w:rPr>
          <w:rFonts w:ascii="Arial" w:hAnsi="Arial" w:cs="Arial"/>
          <w:sz w:val="20"/>
          <w:szCs w:val="20"/>
        </w:rPr>
        <w:t xml:space="preserve"> </w:t>
      </w:r>
      <w:r w:rsidR="008F0CA6">
        <w:rPr>
          <w:rFonts w:ascii="Arial" w:hAnsi="Arial" w:cs="Arial"/>
          <w:sz w:val="20"/>
          <w:szCs w:val="20"/>
        </w:rPr>
        <w:t xml:space="preserve">you will then be asked to send </w:t>
      </w:r>
      <w:r w:rsidR="009D2EF7">
        <w:rPr>
          <w:rFonts w:ascii="Arial" w:hAnsi="Arial" w:cs="Arial"/>
          <w:sz w:val="20"/>
          <w:szCs w:val="20"/>
        </w:rPr>
        <w:t>Community Legal Centers Queensland</w:t>
      </w:r>
      <w:r w:rsidR="008F0CA6">
        <w:rPr>
          <w:rFonts w:ascii="Arial" w:hAnsi="Arial" w:cs="Arial"/>
          <w:sz w:val="20"/>
          <w:szCs w:val="20"/>
        </w:rPr>
        <w:t xml:space="preserve"> an invoice for $300 and submit receipts within one month of the workshop taking place.  </w:t>
      </w:r>
      <w:r w:rsidR="00570766">
        <w:rPr>
          <w:rFonts w:ascii="Arial" w:hAnsi="Arial" w:cs="Arial"/>
          <w:sz w:val="20"/>
          <w:szCs w:val="20"/>
        </w:rPr>
        <w:t>The deadline for submitting applications is</w:t>
      </w:r>
      <w:r w:rsidR="00C35275">
        <w:rPr>
          <w:rFonts w:ascii="Arial" w:hAnsi="Arial" w:cs="Arial"/>
          <w:sz w:val="20"/>
          <w:szCs w:val="20"/>
        </w:rPr>
        <w:t xml:space="preserve"> 1</w:t>
      </w:r>
      <w:r w:rsidR="00570766">
        <w:rPr>
          <w:rFonts w:ascii="Arial" w:hAnsi="Arial" w:cs="Arial"/>
          <w:sz w:val="20"/>
          <w:szCs w:val="20"/>
        </w:rPr>
        <w:t xml:space="preserve"> </w:t>
      </w:r>
      <w:r w:rsidR="00C35275">
        <w:rPr>
          <w:rFonts w:ascii="Arial" w:hAnsi="Arial" w:cs="Arial"/>
          <w:sz w:val="20"/>
          <w:szCs w:val="20"/>
        </w:rPr>
        <w:t>October</w:t>
      </w:r>
      <w:r w:rsidR="009C772D">
        <w:rPr>
          <w:rFonts w:ascii="Arial" w:hAnsi="Arial" w:cs="Arial"/>
          <w:sz w:val="20"/>
          <w:szCs w:val="20"/>
        </w:rPr>
        <w:t xml:space="preserve"> 2017</w:t>
      </w:r>
      <w:r w:rsidR="009D2EF7">
        <w:rPr>
          <w:rFonts w:ascii="Arial" w:hAnsi="Arial" w:cs="Arial"/>
          <w:sz w:val="20"/>
          <w:szCs w:val="20"/>
        </w:rPr>
        <w:t>.</w:t>
      </w:r>
    </w:p>
    <w:p w14:paraId="11E45095" w14:textId="77777777" w:rsidR="005C70DA" w:rsidRPr="003B54C3" w:rsidRDefault="005C70DA" w:rsidP="005C70D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tDotDash" w:sz="4" w:space="0" w:color="BFBFBF" w:themeColor="background1" w:themeShade="BF"/>
          <w:left w:val="dotDotDash" w:sz="4" w:space="0" w:color="BFBFBF" w:themeColor="background1" w:themeShade="BF"/>
          <w:bottom w:val="dotDotDash" w:sz="4" w:space="0" w:color="BFBFBF" w:themeColor="background1" w:themeShade="BF"/>
          <w:right w:val="dotDotDash" w:sz="4" w:space="0" w:color="BFBFBF" w:themeColor="background1" w:themeShade="BF"/>
          <w:insideH w:val="dotDotDash" w:sz="4" w:space="0" w:color="BFBFBF" w:themeColor="background1" w:themeShade="BF"/>
          <w:insideV w:val="dotDotDash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00"/>
        <w:gridCol w:w="5825"/>
        <w:gridCol w:w="249"/>
        <w:gridCol w:w="1077"/>
      </w:tblGrid>
      <w:tr w:rsidR="009D2EF7" w:rsidRPr="003B54C3" w14:paraId="03EA1D77" w14:textId="77777777" w:rsidTr="00A1685F">
        <w:tc>
          <w:tcPr>
            <w:tcW w:w="2900" w:type="dxa"/>
          </w:tcPr>
          <w:p w14:paraId="7EF424DD" w14:textId="77777777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5" w:type="dxa"/>
          </w:tcPr>
          <w:p w14:paraId="06BA2322" w14:textId="77777777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77373016" w14:textId="31939B50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1B3CBB4C" w14:textId="77777777" w:rsidR="009D2EF7" w:rsidRPr="003B54C3" w:rsidRDefault="009D2EF7" w:rsidP="00A551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B54C3">
              <w:rPr>
                <w:rFonts w:ascii="Arial" w:hAnsi="Arial" w:cs="Arial"/>
                <w:b/>
              </w:rPr>
              <w:t>COST</w:t>
            </w:r>
          </w:p>
        </w:tc>
      </w:tr>
      <w:tr w:rsidR="009D2EF7" w:rsidRPr="003B54C3" w14:paraId="6C9C9BC8" w14:textId="77777777" w:rsidTr="00A1685F">
        <w:tc>
          <w:tcPr>
            <w:tcW w:w="2900" w:type="dxa"/>
          </w:tcPr>
          <w:p w14:paraId="47792350" w14:textId="77777777" w:rsidR="009D2EF7" w:rsidRPr="003B54C3" w:rsidRDefault="009D2EF7" w:rsidP="006360D9">
            <w:pPr>
              <w:spacing w:line="276" w:lineRule="auto"/>
              <w:rPr>
                <w:rFonts w:ascii="Arial" w:hAnsi="Arial" w:cs="Arial"/>
              </w:rPr>
            </w:pPr>
            <w:r w:rsidRPr="003B54C3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5825" w:type="dxa"/>
          </w:tcPr>
          <w:p w14:paraId="66238C4A" w14:textId="77777777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0D4CA00A" w14:textId="2DE28560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shd w:val="pct10" w:color="auto" w:fill="auto"/>
          </w:tcPr>
          <w:p w14:paraId="4FA4494B" w14:textId="77777777" w:rsidR="009D2EF7" w:rsidRPr="003B54C3" w:rsidRDefault="009D2EF7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EF7" w:rsidRPr="003B54C3" w14:paraId="5239392F" w14:textId="77777777" w:rsidTr="00A1685F">
        <w:tc>
          <w:tcPr>
            <w:tcW w:w="2900" w:type="dxa"/>
          </w:tcPr>
          <w:p w14:paraId="4F114A2E" w14:textId="77777777" w:rsidR="009D2EF7" w:rsidRPr="003B54C3" w:rsidRDefault="009D2EF7" w:rsidP="006360D9">
            <w:pPr>
              <w:spacing w:line="276" w:lineRule="auto"/>
              <w:rPr>
                <w:rFonts w:ascii="Arial" w:hAnsi="Arial" w:cs="Arial"/>
              </w:rPr>
            </w:pPr>
            <w:r w:rsidRPr="003B54C3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5825" w:type="dxa"/>
          </w:tcPr>
          <w:p w14:paraId="66AE10A2" w14:textId="77777777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6557B095" w14:textId="7CC9D99B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shd w:val="pct10" w:color="auto" w:fill="auto"/>
          </w:tcPr>
          <w:p w14:paraId="701E3737" w14:textId="77777777" w:rsidR="009D2EF7" w:rsidRPr="003B54C3" w:rsidRDefault="009D2EF7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EF7" w:rsidRPr="003B54C3" w14:paraId="6FBA3745" w14:textId="77777777" w:rsidTr="00A1685F">
        <w:tc>
          <w:tcPr>
            <w:tcW w:w="2900" w:type="dxa"/>
          </w:tcPr>
          <w:p w14:paraId="785391D1" w14:textId="77777777" w:rsidR="009D2EF7" w:rsidRPr="003B54C3" w:rsidRDefault="009D2EF7" w:rsidP="006360D9">
            <w:pPr>
              <w:spacing w:line="276" w:lineRule="auto"/>
              <w:rPr>
                <w:rFonts w:ascii="Arial" w:hAnsi="Arial" w:cs="Arial"/>
              </w:rPr>
            </w:pPr>
            <w:r w:rsidRPr="003B54C3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5825" w:type="dxa"/>
          </w:tcPr>
          <w:p w14:paraId="0DD565D5" w14:textId="77777777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390E05A6" w14:textId="3EC10479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shd w:val="pct10" w:color="auto" w:fill="auto"/>
          </w:tcPr>
          <w:p w14:paraId="69FB7B68" w14:textId="77777777" w:rsidR="009D2EF7" w:rsidRPr="003B54C3" w:rsidRDefault="009D2EF7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EF7" w:rsidRPr="003B54C3" w14:paraId="37F479CC" w14:textId="77777777" w:rsidTr="00A1685F">
        <w:tc>
          <w:tcPr>
            <w:tcW w:w="2900" w:type="dxa"/>
          </w:tcPr>
          <w:p w14:paraId="55E740E2" w14:textId="17443BC3" w:rsidR="009D2EF7" w:rsidRPr="003B54C3" w:rsidRDefault="009D2EF7" w:rsidP="006360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3B54C3">
              <w:rPr>
                <w:rFonts w:ascii="Arial" w:hAnsi="Arial" w:cs="Arial"/>
                <w:b/>
              </w:rPr>
              <w:t>-mail</w:t>
            </w:r>
          </w:p>
        </w:tc>
        <w:tc>
          <w:tcPr>
            <w:tcW w:w="5825" w:type="dxa"/>
          </w:tcPr>
          <w:p w14:paraId="6091EC96" w14:textId="77777777" w:rsidR="00A1685F" w:rsidRPr="003B54C3" w:rsidRDefault="00A1685F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23B110D2" w14:textId="4EB067FB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shd w:val="pct10" w:color="auto" w:fill="auto"/>
          </w:tcPr>
          <w:p w14:paraId="5ADEFF49" w14:textId="77777777" w:rsidR="009D2EF7" w:rsidRPr="003B54C3" w:rsidRDefault="009D2EF7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EF7" w:rsidRPr="003B54C3" w14:paraId="6CAD420F" w14:textId="77777777" w:rsidTr="00A1685F">
        <w:tc>
          <w:tcPr>
            <w:tcW w:w="2900" w:type="dxa"/>
          </w:tcPr>
          <w:p w14:paraId="38F15EA0" w14:textId="0E341D38" w:rsidR="009D2EF7" w:rsidRPr="003B54C3" w:rsidRDefault="00CE0C47" w:rsidP="006360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Forward j</w:t>
            </w:r>
            <w:r w:rsidR="009D2EF7" w:rsidRPr="003B54C3">
              <w:rPr>
                <w:rFonts w:ascii="Arial" w:hAnsi="Arial" w:cs="Arial"/>
                <w:b/>
              </w:rPr>
              <w:t>ourney date &amp; time</w:t>
            </w:r>
          </w:p>
        </w:tc>
        <w:tc>
          <w:tcPr>
            <w:tcW w:w="5825" w:type="dxa"/>
          </w:tcPr>
          <w:p w14:paraId="597FC42B" w14:textId="77777777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1EC7FFF6" w14:textId="592E1F9E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shd w:val="pct10" w:color="auto" w:fill="auto"/>
          </w:tcPr>
          <w:p w14:paraId="79B3400E" w14:textId="77777777" w:rsidR="009D2EF7" w:rsidRPr="003B54C3" w:rsidRDefault="009D2EF7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EF7" w:rsidRPr="003B54C3" w14:paraId="41D4E7D1" w14:textId="77777777" w:rsidTr="00A1685F">
        <w:tc>
          <w:tcPr>
            <w:tcW w:w="2900" w:type="dxa"/>
          </w:tcPr>
          <w:p w14:paraId="4DCC25B8" w14:textId="59B28602" w:rsidR="009D2EF7" w:rsidRPr="003B54C3" w:rsidRDefault="00CE0C47" w:rsidP="006360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Return j</w:t>
            </w:r>
            <w:r w:rsidR="009D2EF7" w:rsidRPr="003B54C3">
              <w:rPr>
                <w:rFonts w:ascii="Arial" w:hAnsi="Arial" w:cs="Arial"/>
                <w:b/>
              </w:rPr>
              <w:t>ourney date &amp; time</w:t>
            </w:r>
          </w:p>
        </w:tc>
        <w:tc>
          <w:tcPr>
            <w:tcW w:w="5825" w:type="dxa"/>
          </w:tcPr>
          <w:p w14:paraId="65FCD7C5" w14:textId="77777777" w:rsidR="009D2EF7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3B4DEA0" w14:textId="77777777" w:rsidR="00A1685F" w:rsidRPr="003B54C3" w:rsidRDefault="00A1685F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2BCFEFD1" w14:textId="1595824F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  <w:shd w:val="pct10" w:color="auto" w:fill="auto"/>
          </w:tcPr>
          <w:p w14:paraId="632FF4F3" w14:textId="77777777" w:rsidR="009D2EF7" w:rsidRPr="003B54C3" w:rsidRDefault="009D2EF7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EF7" w:rsidRPr="003B54C3" w14:paraId="50C683B7" w14:textId="77777777" w:rsidTr="00A1685F">
        <w:tc>
          <w:tcPr>
            <w:tcW w:w="2900" w:type="dxa"/>
          </w:tcPr>
          <w:p w14:paraId="1FCE1917" w14:textId="175E9676" w:rsidR="009D2EF7" w:rsidRPr="003B54C3" w:rsidRDefault="00CE0C47" w:rsidP="006360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Travel d</w:t>
            </w:r>
            <w:r w:rsidR="009D2EF7" w:rsidRPr="003B54C3">
              <w:rPr>
                <w:rFonts w:ascii="Arial" w:hAnsi="Arial" w:cs="Arial"/>
                <w:b/>
              </w:rPr>
              <w:t>etails: e.g. from</w:t>
            </w:r>
          </w:p>
        </w:tc>
        <w:tc>
          <w:tcPr>
            <w:tcW w:w="5825" w:type="dxa"/>
          </w:tcPr>
          <w:p w14:paraId="2FEEA065" w14:textId="77777777" w:rsidR="009D2EF7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142D09D" w14:textId="77777777" w:rsidR="00A1685F" w:rsidRPr="003B54C3" w:rsidRDefault="00A1685F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40A54ADE" w14:textId="6CCD765D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2035F361" w14:textId="77777777" w:rsidR="009D2EF7" w:rsidRPr="003B54C3" w:rsidRDefault="009D2EF7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EF7" w:rsidRPr="003B54C3" w14:paraId="6BC47819" w14:textId="77777777" w:rsidTr="00A1685F">
        <w:tc>
          <w:tcPr>
            <w:tcW w:w="2900" w:type="dxa"/>
          </w:tcPr>
          <w:p w14:paraId="6AB7D526" w14:textId="0FA0226B" w:rsidR="009D2EF7" w:rsidRPr="003B54C3" w:rsidRDefault="009D2EF7" w:rsidP="00CE0C47">
            <w:pPr>
              <w:spacing w:line="276" w:lineRule="auto"/>
              <w:rPr>
                <w:rFonts w:ascii="Arial" w:hAnsi="Arial" w:cs="Arial"/>
              </w:rPr>
            </w:pPr>
            <w:r w:rsidRPr="003B54C3">
              <w:rPr>
                <w:rFonts w:ascii="Arial" w:hAnsi="Arial" w:cs="Arial"/>
              </w:rPr>
              <w:t>T</w:t>
            </w:r>
            <w:r w:rsidRPr="003B54C3">
              <w:rPr>
                <w:rFonts w:ascii="Arial" w:hAnsi="Arial" w:cs="Arial"/>
                <w:b/>
              </w:rPr>
              <w:t xml:space="preserve">ype of </w:t>
            </w:r>
            <w:r w:rsidR="00CE0C47">
              <w:rPr>
                <w:rFonts w:ascii="Arial" w:hAnsi="Arial" w:cs="Arial"/>
                <w:b/>
              </w:rPr>
              <w:t>t</w:t>
            </w:r>
            <w:r w:rsidRPr="003B54C3">
              <w:rPr>
                <w:rFonts w:ascii="Arial" w:hAnsi="Arial" w:cs="Arial"/>
                <w:b/>
              </w:rPr>
              <w:t>ravel: e.g. flight, car</w:t>
            </w:r>
          </w:p>
        </w:tc>
        <w:tc>
          <w:tcPr>
            <w:tcW w:w="5825" w:type="dxa"/>
          </w:tcPr>
          <w:p w14:paraId="79C54B6E" w14:textId="77777777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2979128F" w14:textId="1B49D035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24C9C62D" w14:textId="77777777" w:rsidR="009D2EF7" w:rsidRPr="003B54C3" w:rsidRDefault="009D2EF7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EF7" w:rsidRPr="003B54C3" w14:paraId="08D3389A" w14:textId="77777777" w:rsidTr="00A1685F">
        <w:tc>
          <w:tcPr>
            <w:tcW w:w="2900" w:type="dxa"/>
          </w:tcPr>
          <w:p w14:paraId="54C6AD08" w14:textId="34EBCCF8" w:rsidR="009D2EF7" w:rsidRPr="003B54C3" w:rsidRDefault="009D2EF7" w:rsidP="006360D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address of accommodation provider:</w:t>
            </w:r>
          </w:p>
        </w:tc>
        <w:tc>
          <w:tcPr>
            <w:tcW w:w="5825" w:type="dxa"/>
          </w:tcPr>
          <w:p w14:paraId="708C17E2" w14:textId="77777777" w:rsidR="009D2EF7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97D2719" w14:textId="77777777" w:rsidR="00A1685F" w:rsidRDefault="00A1685F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D7557A6" w14:textId="77777777" w:rsidR="00A1685F" w:rsidRPr="003B54C3" w:rsidRDefault="00A1685F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64E8F7BA" w14:textId="20EBB46C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58748305" w14:textId="77777777" w:rsidR="009D2EF7" w:rsidRPr="003B54C3" w:rsidRDefault="009D2EF7" w:rsidP="00A551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EF7" w:rsidRPr="003B54C3" w14:paraId="2DA7E263" w14:textId="77777777" w:rsidTr="00A1685F">
        <w:tc>
          <w:tcPr>
            <w:tcW w:w="2900" w:type="dxa"/>
          </w:tcPr>
          <w:p w14:paraId="6B40496C" w14:textId="5523149E" w:rsidR="009D2EF7" w:rsidRPr="003B54C3" w:rsidRDefault="009D2EF7" w:rsidP="006360D9">
            <w:pPr>
              <w:spacing w:line="276" w:lineRule="auto"/>
              <w:rPr>
                <w:rFonts w:ascii="Arial" w:hAnsi="Arial" w:cs="Arial"/>
                <w:b/>
              </w:rPr>
            </w:pPr>
            <w:r w:rsidRPr="003B54C3">
              <w:rPr>
                <w:rFonts w:ascii="Arial" w:hAnsi="Arial" w:cs="Arial"/>
                <w:b/>
              </w:rPr>
              <w:t>TOTAL COSTS</w:t>
            </w:r>
          </w:p>
        </w:tc>
        <w:tc>
          <w:tcPr>
            <w:tcW w:w="5825" w:type="dxa"/>
          </w:tcPr>
          <w:p w14:paraId="2610EB10" w14:textId="77777777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14:paraId="1C4D951F" w14:textId="69B0288F" w:rsidR="009D2EF7" w:rsidRPr="003B54C3" w:rsidRDefault="009D2EF7" w:rsidP="00A551F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675E747E" w14:textId="77777777" w:rsidR="009D2EF7" w:rsidRPr="003B54C3" w:rsidRDefault="009D2EF7" w:rsidP="00F4666C">
            <w:pPr>
              <w:spacing w:line="276" w:lineRule="auto"/>
              <w:rPr>
                <w:rFonts w:ascii="Arial" w:hAnsi="Arial" w:cs="Arial"/>
              </w:rPr>
            </w:pPr>
            <w:r w:rsidRPr="003B54C3">
              <w:rPr>
                <w:rFonts w:ascii="Arial" w:hAnsi="Arial" w:cs="Arial"/>
              </w:rPr>
              <w:t>$</w:t>
            </w:r>
          </w:p>
        </w:tc>
      </w:tr>
    </w:tbl>
    <w:p w14:paraId="1CA4B6ED" w14:textId="77777777" w:rsidR="005C70DA" w:rsidRPr="003B54C3" w:rsidRDefault="005C70DA" w:rsidP="005C70DA">
      <w:pPr>
        <w:jc w:val="center"/>
        <w:rPr>
          <w:rFonts w:ascii="Arial" w:hAnsi="Arial" w:cs="Arial"/>
          <w:i/>
          <w:sz w:val="20"/>
          <w:szCs w:val="20"/>
        </w:rPr>
      </w:pPr>
    </w:p>
    <w:p w14:paraId="4F654499" w14:textId="565B3DB6" w:rsidR="00A1685F" w:rsidRDefault="00570766" w:rsidP="006360D9">
      <w:pPr>
        <w:rPr>
          <w:rFonts w:ascii="Arial" w:hAnsi="Arial" w:cs="Arial"/>
          <w:sz w:val="20"/>
          <w:szCs w:val="20"/>
        </w:rPr>
      </w:pPr>
      <w:r w:rsidRPr="006360D9">
        <w:rPr>
          <w:rFonts w:ascii="Arial" w:hAnsi="Arial" w:cs="Arial"/>
          <w:sz w:val="20"/>
          <w:szCs w:val="20"/>
        </w:rPr>
        <w:t>Please forward this form by e</w:t>
      </w:r>
      <w:r w:rsidR="00F4666C">
        <w:rPr>
          <w:rFonts w:ascii="Arial" w:hAnsi="Arial" w:cs="Arial"/>
          <w:sz w:val="20"/>
          <w:szCs w:val="20"/>
        </w:rPr>
        <w:t xml:space="preserve">mail to </w:t>
      </w:r>
      <w:r w:rsidR="00A1685F">
        <w:rPr>
          <w:rFonts w:ascii="Arial" w:hAnsi="Arial" w:cs="Arial"/>
          <w:sz w:val="20"/>
          <w:szCs w:val="20"/>
        </w:rPr>
        <w:t xml:space="preserve">Hannah </w:t>
      </w:r>
      <w:hyperlink r:id="rId9" w:history="1">
        <w:r w:rsidR="00A1685F" w:rsidRPr="008773FE">
          <w:rPr>
            <w:rStyle w:val="Hyperlink"/>
            <w:rFonts w:ascii="Arial" w:hAnsi="Arial" w:cs="Arial"/>
            <w:sz w:val="20"/>
            <w:szCs w:val="20"/>
          </w:rPr>
          <w:t>admin@communitylegalqld.org.au</w:t>
        </w:r>
      </w:hyperlink>
    </w:p>
    <w:p w14:paraId="36C746A5" w14:textId="7B056F34" w:rsidR="005C70DA" w:rsidRPr="006360D9" w:rsidRDefault="005C70DA" w:rsidP="006360D9">
      <w:pPr>
        <w:rPr>
          <w:rFonts w:ascii="Arial" w:hAnsi="Arial" w:cs="Arial"/>
          <w:sz w:val="20"/>
          <w:szCs w:val="20"/>
        </w:rPr>
      </w:pPr>
      <w:r w:rsidRPr="006360D9">
        <w:rPr>
          <w:rFonts w:ascii="Arial" w:hAnsi="Arial" w:cs="Arial"/>
          <w:sz w:val="20"/>
          <w:szCs w:val="20"/>
        </w:rPr>
        <w:t>Post: Po B</w:t>
      </w:r>
      <w:r w:rsidR="009C772D">
        <w:rPr>
          <w:rFonts w:ascii="Arial" w:hAnsi="Arial" w:cs="Arial"/>
          <w:sz w:val="20"/>
          <w:szCs w:val="20"/>
        </w:rPr>
        <w:t>ox 119, Stones Corner, QLD 4120.  For further information phone 07 3392 0092.</w:t>
      </w:r>
    </w:p>
    <w:sectPr w:rsidR="005C70DA" w:rsidRPr="006360D9" w:rsidSect="00F4666C">
      <w:type w:val="continuous"/>
      <w:pgSz w:w="11900" w:h="16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3D31E" w14:textId="77777777" w:rsidR="001D7B2A" w:rsidRDefault="001D7B2A" w:rsidP="001D7B2A">
      <w:r>
        <w:separator/>
      </w:r>
    </w:p>
  </w:endnote>
  <w:endnote w:type="continuationSeparator" w:id="0">
    <w:p w14:paraId="4B7AC0E7" w14:textId="77777777" w:rsidR="001D7B2A" w:rsidRDefault="001D7B2A" w:rsidP="001D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2DE03" w14:textId="77777777" w:rsidR="001D7B2A" w:rsidRDefault="001D7B2A" w:rsidP="001D7B2A">
      <w:r>
        <w:separator/>
      </w:r>
    </w:p>
  </w:footnote>
  <w:footnote w:type="continuationSeparator" w:id="0">
    <w:p w14:paraId="36CD0816" w14:textId="77777777" w:rsidR="001D7B2A" w:rsidRDefault="001D7B2A" w:rsidP="001D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6CE5"/>
    <w:multiLevelType w:val="hybridMultilevel"/>
    <w:tmpl w:val="4BDA4B04"/>
    <w:lvl w:ilvl="0" w:tplc="CDBE977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A4DF3"/>
    <w:multiLevelType w:val="hybridMultilevel"/>
    <w:tmpl w:val="3ADA3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D45"/>
    <w:multiLevelType w:val="hybridMultilevel"/>
    <w:tmpl w:val="65C6D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C5161"/>
    <w:multiLevelType w:val="hybridMultilevel"/>
    <w:tmpl w:val="3A1A7A94"/>
    <w:lvl w:ilvl="0" w:tplc="8650388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4A"/>
    <w:rsid w:val="00002CCB"/>
    <w:rsid w:val="00026431"/>
    <w:rsid w:val="000436F9"/>
    <w:rsid w:val="00047B4C"/>
    <w:rsid w:val="0007382F"/>
    <w:rsid w:val="00086CEA"/>
    <w:rsid w:val="00087AE5"/>
    <w:rsid w:val="0018698C"/>
    <w:rsid w:val="001A5EA9"/>
    <w:rsid w:val="001D7B2A"/>
    <w:rsid w:val="002040B8"/>
    <w:rsid w:val="00207393"/>
    <w:rsid w:val="0029548A"/>
    <w:rsid w:val="002A4677"/>
    <w:rsid w:val="002A4B43"/>
    <w:rsid w:val="00304C30"/>
    <w:rsid w:val="00306C22"/>
    <w:rsid w:val="00352B82"/>
    <w:rsid w:val="003A4457"/>
    <w:rsid w:val="003D0678"/>
    <w:rsid w:val="004646E7"/>
    <w:rsid w:val="004E41CA"/>
    <w:rsid w:val="004F2661"/>
    <w:rsid w:val="00532AA7"/>
    <w:rsid w:val="005333C5"/>
    <w:rsid w:val="00570766"/>
    <w:rsid w:val="005C70DA"/>
    <w:rsid w:val="006360D9"/>
    <w:rsid w:val="00636C92"/>
    <w:rsid w:val="00650785"/>
    <w:rsid w:val="0068242B"/>
    <w:rsid w:val="00685D2B"/>
    <w:rsid w:val="006B4A9D"/>
    <w:rsid w:val="006C2860"/>
    <w:rsid w:val="00717836"/>
    <w:rsid w:val="0072252E"/>
    <w:rsid w:val="007A0390"/>
    <w:rsid w:val="007A0C14"/>
    <w:rsid w:val="007B3B32"/>
    <w:rsid w:val="007C494A"/>
    <w:rsid w:val="007D3F4D"/>
    <w:rsid w:val="007E01D2"/>
    <w:rsid w:val="00861B80"/>
    <w:rsid w:val="008675AB"/>
    <w:rsid w:val="008B6216"/>
    <w:rsid w:val="008F0CA6"/>
    <w:rsid w:val="008F71B3"/>
    <w:rsid w:val="00907ADF"/>
    <w:rsid w:val="00983D85"/>
    <w:rsid w:val="009A5D4F"/>
    <w:rsid w:val="009C57B9"/>
    <w:rsid w:val="009C772D"/>
    <w:rsid w:val="009D2EF7"/>
    <w:rsid w:val="009F137A"/>
    <w:rsid w:val="00A1685F"/>
    <w:rsid w:val="00A7563C"/>
    <w:rsid w:val="00A80E4C"/>
    <w:rsid w:val="00AE70F9"/>
    <w:rsid w:val="00AF1484"/>
    <w:rsid w:val="00AF5A50"/>
    <w:rsid w:val="00B14503"/>
    <w:rsid w:val="00C01D64"/>
    <w:rsid w:val="00C10E93"/>
    <w:rsid w:val="00C2474B"/>
    <w:rsid w:val="00C26513"/>
    <w:rsid w:val="00C35275"/>
    <w:rsid w:val="00C3629E"/>
    <w:rsid w:val="00CA4195"/>
    <w:rsid w:val="00CB3AAF"/>
    <w:rsid w:val="00CE0C47"/>
    <w:rsid w:val="00D21BA6"/>
    <w:rsid w:val="00D46774"/>
    <w:rsid w:val="00D70E39"/>
    <w:rsid w:val="00D71A81"/>
    <w:rsid w:val="00D86E57"/>
    <w:rsid w:val="00E452E8"/>
    <w:rsid w:val="00E66696"/>
    <w:rsid w:val="00EA127D"/>
    <w:rsid w:val="00EB21BA"/>
    <w:rsid w:val="00F23F59"/>
    <w:rsid w:val="00F4666C"/>
    <w:rsid w:val="00F5336B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E6117"/>
  <w14:defaultImageDpi w14:val="300"/>
  <w15:docId w15:val="{7DC3AA50-8E53-4077-83C4-2714642D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9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5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2CC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B2A"/>
  </w:style>
  <w:style w:type="paragraph" w:styleId="Footer">
    <w:name w:val="footer"/>
    <w:basedOn w:val="Normal"/>
    <w:link w:val="FooterChar"/>
    <w:unhideWhenUsed/>
    <w:rsid w:val="001D7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B2A"/>
  </w:style>
  <w:style w:type="paragraph" w:styleId="ListParagraph">
    <w:name w:val="List Paragraph"/>
    <w:basedOn w:val="Normal"/>
    <w:uiPriority w:val="34"/>
    <w:qFormat/>
    <w:rsid w:val="0068242B"/>
    <w:pPr>
      <w:ind w:left="720"/>
      <w:contextualSpacing/>
    </w:pPr>
  </w:style>
  <w:style w:type="table" w:styleId="TableGrid">
    <w:name w:val="Table Grid"/>
    <w:basedOn w:val="TableNormal"/>
    <w:rsid w:val="005C70DA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communitylegalqld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5801-C106-4FAD-A898-7DE9B081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Farrell</dc:creator>
  <cp:lastModifiedBy>Communications</cp:lastModifiedBy>
  <cp:revision>7</cp:revision>
  <cp:lastPrinted>2017-07-19T03:06:00Z</cp:lastPrinted>
  <dcterms:created xsi:type="dcterms:W3CDTF">2017-07-18T05:32:00Z</dcterms:created>
  <dcterms:modified xsi:type="dcterms:W3CDTF">2017-07-24T01:17:00Z</dcterms:modified>
</cp:coreProperties>
</file>