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81" w:rsidRDefault="005B0B81"/>
    <w:tbl>
      <w:tblPr>
        <w:tblW w:w="0" w:type="auto"/>
        <w:jc w:val="right"/>
        <w:tblLayout w:type="fixed"/>
        <w:tblCellMar>
          <w:left w:w="0" w:type="dxa"/>
          <w:right w:w="0" w:type="dxa"/>
        </w:tblCellMar>
        <w:tblLook w:val="0000"/>
      </w:tblPr>
      <w:tblGrid>
        <w:gridCol w:w="9072"/>
      </w:tblGrid>
      <w:tr w:rsidR="006116CD" w:rsidRPr="006116CD" w:rsidTr="00447F90">
        <w:trPr>
          <w:trHeight w:hRule="exact" w:val="5014"/>
          <w:jc w:val="right"/>
        </w:trPr>
        <w:tc>
          <w:tcPr>
            <w:tcW w:w="9072" w:type="dxa"/>
            <w:shd w:val="clear" w:color="auto" w:fill="auto"/>
            <w:vAlign w:val="bottom"/>
          </w:tcPr>
          <w:p w:rsidR="005B0B81" w:rsidRDefault="005B0B81" w:rsidP="006116CD">
            <w:pPr>
              <w:spacing w:before="120"/>
              <w:jc w:val="center"/>
              <w:rPr>
                <w:sz w:val="36"/>
                <w:szCs w:val="36"/>
              </w:rPr>
            </w:pPr>
          </w:p>
          <w:p w:rsidR="005B0B81" w:rsidRDefault="005B0B81" w:rsidP="006116CD">
            <w:pPr>
              <w:spacing w:before="120"/>
              <w:jc w:val="center"/>
              <w:rPr>
                <w:sz w:val="36"/>
                <w:szCs w:val="36"/>
              </w:rPr>
            </w:pPr>
          </w:p>
          <w:p w:rsidR="005B0B81" w:rsidRDefault="005B0B81" w:rsidP="006116CD">
            <w:pPr>
              <w:spacing w:before="120"/>
              <w:jc w:val="center"/>
              <w:rPr>
                <w:sz w:val="36"/>
                <w:szCs w:val="36"/>
              </w:rPr>
            </w:pPr>
          </w:p>
          <w:p w:rsidR="005B0B81" w:rsidRDefault="005B0B81" w:rsidP="006116CD">
            <w:pPr>
              <w:spacing w:before="120"/>
              <w:jc w:val="center"/>
              <w:rPr>
                <w:sz w:val="36"/>
                <w:szCs w:val="36"/>
              </w:rPr>
            </w:pPr>
          </w:p>
          <w:p w:rsidR="005B0B81" w:rsidRPr="00EC5653" w:rsidRDefault="003932C8" w:rsidP="006116CD">
            <w:pPr>
              <w:spacing w:before="120"/>
              <w:jc w:val="center"/>
              <w:rPr>
                <w:color w:val="0070C0"/>
                <w:sz w:val="36"/>
                <w:szCs w:val="36"/>
              </w:rPr>
            </w:pPr>
            <w:r w:rsidRPr="003932C8">
              <w:rPr>
                <w:color w:val="0070C0"/>
                <w:sz w:val="36"/>
                <w:szCs w:val="36"/>
              </w:rPr>
              <w:t>Community Legal Centre</w:t>
            </w:r>
            <w:r>
              <w:rPr>
                <w:color w:val="0070C0"/>
                <w:sz w:val="36"/>
                <w:szCs w:val="36"/>
              </w:rPr>
              <w:t>s</w:t>
            </w:r>
            <w:r w:rsidRPr="003932C8">
              <w:rPr>
                <w:color w:val="0070C0"/>
                <w:sz w:val="36"/>
                <w:szCs w:val="36"/>
              </w:rPr>
              <w:t xml:space="preserve"> </w:t>
            </w:r>
          </w:p>
          <w:p w:rsidR="00447F90" w:rsidRPr="00EC5653" w:rsidRDefault="00447F90" w:rsidP="006116CD">
            <w:pPr>
              <w:spacing w:before="120"/>
              <w:jc w:val="center"/>
              <w:rPr>
                <w:color w:val="0070C0"/>
                <w:sz w:val="36"/>
                <w:szCs w:val="36"/>
              </w:rPr>
            </w:pPr>
          </w:p>
          <w:p w:rsidR="006116CD" w:rsidRPr="00EC5653" w:rsidRDefault="006116CD" w:rsidP="006116CD">
            <w:pPr>
              <w:spacing w:before="120"/>
              <w:jc w:val="center"/>
              <w:rPr>
                <w:color w:val="0070C0"/>
                <w:sz w:val="36"/>
                <w:szCs w:val="36"/>
              </w:rPr>
            </w:pPr>
            <w:r w:rsidRPr="00EC5653">
              <w:rPr>
                <w:color w:val="0070C0"/>
                <w:sz w:val="36"/>
                <w:szCs w:val="36"/>
              </w:rPr>
              <w:t>F</w:t>
            </w:r>
            <w:r w:rsidR="005B0B81" w:rsidRPr="00EC5653">
              <w:rPr>
                <w:color w:val="0070C0"/>
                <w:sz w:val="36"/>
                <w:szCs w:val="36"/>
              </w:rPr>
              <w:t xml:space="preserve">ringe </w:t>
            </w:r>
            <w:r w:rsidRPr="00EC5653">
              <w:rPr>
                <w:color w:val="0070C0"/>
                <w:sz w:val="36"/>
                <w:szCs w:val="36"/>
              </w:rPr>
              <w:t>B</w:t>
            </w:r>
            <w:r w:rsidR="005B0B81" w:rsidRPr="00EC5653">
              <w:rPr>
                <w:color w:val="0070C0"/>
                <w:sz w:val="36"/>
                <w:szCs w:val="36"/>
              </w:rPr>
              <w:t xml:space="preserve">enefits </w:t>
            </w:r>
            <w:r w:rsidRPr="00EC5653">
              <w:rPr>
                <w:color w:val="0070C0"/>
                <w:sz w:val="36"/>
                <w:szCs w:val="36"/>
              </w:rPr>
              <w:t>T</w:t>
            </w:r>
            <w:r w:rsidR="005B0B81" w:rsidRPr="00EC5653">
              <w:rPr>
                <w:color w:val="0070C0"/>
                <w:sz w:val="36"/>
                <w:szCs w:val="36"/>
              </w:rPr>
              <w:t>ax</w:t>
            </w:r>
            <w:r w:rsidRPr="00EC5653">
              <w:rPr>
                <w:color w:val="0070C0"/>
                <w:sz w:val="36"/>
                <w:szCs w:val="36"/>
              </w:rPr>
              <w:t xml:space="preserve"> Booklet</w:t>
            </w:r>
          </w:p>
          <w:p w:rsidR="005B0B81" w:rsidRPr="00990313" w:rsidRDefault="005B0B81" w:rsidP="006116CD">
            <w:pPr>
              <w:spacing w:before="120"/>
              <w:jc w:val="center"/>
              <w:rPr>
                <w:sz w:val="36"/>
                <w:szCs w:val="36"/>
              </w:rPr>
            </w:pPr>
          </w:p>
          <w:p w:rsidR="005B0B81" w:rsidRDefault="005B0B81" w:rsidP="006116CD">
            <w:pPr>
              <w:spacing w:before="120"/>
              <w:jc w:val="center"/>
              <w:rPr>
                <w:sz w:val="36"/>
                <w:szCs w:val="36"/>
              </w:rPr>
            </w:pPr>
          </w:p>
          <w:p w:rsidR="005B0B81" w:rsidRDefault="005B0B81" w:rsidP="006116CD">
            <w:pPr>
              <w:spacing w:before="120"/>
              <w:jc w:val="center"/>
              <w:rPr>
                <w:sz w:val="36"/>
                <w:szCs w:val="36"/>
              </w:rPr>
            </w:pPr>
          </w:p>
          <w:p w:rsidR="005B0B81" w:rsidRDefault="005B0B81" w:rsidP="006116CD">
            <w:pPr>
              <w:spacing w:before="120"/>
              <w:jc w:val="center"/>
              <w:rPr>
                <w:sz w:val="36"/>
                <w:szCs w:val="36"/>
              </w:rPr>
            </w:pPr>
          </w:p>
          <w:p w:rsidR="005B0B81" w:rsidRPr="006116CD" w:rsidRDefault="005B0B81" w:rsidP="006116CD">
            <w:pPr>
              <w:spacing w:before="120"/>
              <w:jc w:val="center"/>
              <w:rPr>
                <w:rFonts w:cs="Arial"/>
                <w:sz w:val="36"/>
                <w:szCs w:val="36"/>
                <w:lang w:eastAsia="en-US"/>
              </w:rPr>
            </w:pPr>
          </w:p>
        </w:tc>
      </w:tr>
      <w:tr w:rsidR="006116CD" w:rsidRPr="006116CD" w:rsidTr="00F3275B">
        <w:trPr>
          <w:trHeight w:val="3680"/>
          <w:jc w:val="right"/>
        </w:trPr>
        <w:tc>
          <w:tcPr>
            <w:tcW w:w="9072" w:type="dxa"/>
            <w:vAlign w:val="bottom"/>
          </w:tcPr>
          <w:p w:rsidR="006116CD" w:rsidRPr="006116CD" w:rsidRDefault="006116CD" w:rsidP="00447F90">
            <w:pPr>
              <w:rPr>
                <w:rFonts w:cs="Arial"/>
                <w:b/>
                <w:i/>
                <w:highlight w:val="yellow"/>
                <w:lang w:eastAsia="en-US"/>
              </w:rPr>
            </w:pPr>
            <w:bookmarkStart w:id="0" w:name="AgreementTitle"/>
            <w:bookmarkStart w:id="1" w:name="AgreementParties"/>
            <w:bookmarkStart w:id="2" w:name="AgreementTransaction"/>
            <w:bookmarkEnd w:id="0"/>
            <w:bookmarkEnd w:id="1"/>
            <w:bookmarkEnd w:id="2"/>
          </w:p>
        </w:tc>
      </w:tr>
      <w:tr w:rsidR="005B0B81" w:rsidRPr="006116CD" w:rsidTr="00F3275B">
        <w:trPr>
          <w:trHeight w:hRule="exact" w:val="721"/>
          <w:jc w:val="right"/>
        </w:trPr>
        <w:tc>
          <w:tcPr>
            <w:tcW w:w="9072" w:type="dxa"/>
            <w:vAlign w:val="bottom"/>
          </w:tcPr>
          <w:p w:rsidR="005B0B81" w:rsidRPr="006116CD" w:rsidRDefault="005B0B81" w:rsidP="006116CD">
            <w:pPr>
              <w:keepNext/>
              <w:spacing w:before="0" w:after="60"/>
              <w:jc w:val="center"/>
              <w:rPr>
                <w:sz w:val="32"/>
                <w:szCs w:val="32"/>
                <w:lang w:eastAsia="en-US"/>
              </w:rPr>
            </w:pPr>
          </w:p>
        </w:tc>
      </w:tr>
      <w:tr w:rsidR="006116CD" w:rsidRPr="006116CD" w:rsidTr="00447F90">
        <w:trPr>
          <w:trHeight w:val="75"/>
          <w:jc w:val="right"/>
        </w:trPr>
        <w:tc>
          <w:tcPr>
            <w:tcW w:w="9072" w:type="dxa"/>
            <w:vAlign w:val="bottom"/>
          </w:tcPr>
          <w:p w:rsidR="006116CD" w:rsidRPr="006116CD" w:rsidRDefault="006116CD" w:rsidP="006116CD">
            <w:pPr>
              <w:rPr>
                <w:rFonts w:cs="Arial"/>
                <w:sz w:val="18"/>
                <w:szCs w:val="18"/>
                <w:lang w:eastAsia="en-US"/>
              </w:rPr>
            </w:pPr>
          </w:p>
        </w:tc>
      </w:tr>
      <w:tr w:rsidR="006116CD" w:rsidRPr="006116CD" w:rsidTr="00447F90">
        <w:trPr>
          <w:trHeight w:val="3324"/>
          <w:jc w:val="right"/>
        </w:trPr>
        <w:tc>
          <w:tcPr>
            <w:tcW w:w="9072" w:type="dxa"/>
            <w:vAlign w:val="bottom"/>
          </w:tcPr>
          <w:p w:rsidR="006116CD" w:rsidRDefault="006116CD">
            <w:pPr>
              <w:pStyle w:val="BodyText"/>
            </w:pPr>
            <w:r>
              <w:t>Allens</w:t>
            </w:r>
          </w:p>
          <w:p w:rsidR="006116CD" w:rsidRDefault="006116CD">
            <w:pPr>
              <w:pStyle w:val="BodyText"/>
            </w:pPr>
            <w:r>
              <w:t>Riverside Centre</w:t>
            </w:r>
          </w:p>
          <w:p w:rsidR="006116CD" w:rsidRDefault="006116CD">
            <w:pPr>
              <w:pStyle w:val="BodyText"/>
            </w:pPr>
            <w:r>
              <w:t>123 Eagle Street</w:t>
            </w:r>
          </w:p>
          <w:p w:rsidR="006116CD" w:rsidRDefault="006116CD">
            <w:pPr>
              <w:pStyle w:val="BodyText"/>
            </w:pPr>
            <w:r>
              <w:t>Brisbane  QLD  4000 Australia</w:t>
            </w:r>
          </w:p>
          <w:p w:rsidR="006116CD" w:rsidRDefault="006116CD">
            <w:pPr>
              <w:pStyle w:val="BodyText"/>
            </w:pPr>
            <w:r>
              <w:t>Tel  +61 7 3334 3000</w:t>
            </w:r>
          </w:p>
          <w:p w:rsidR="006116CD" w:rsidRDefault="006116CD">
            <w:pPr>
              <w:pStyle w:val="BodyText"/>
            </w:pPr>
            <w:r>
              <w:t>Fax  +61 7 3334 3444</w:t>
            </w:r>
          </w:p>
          <w:p w:rsidR="006116CD" w:rsidRDefault="006116CD">
            <w:pPr>
              <w:pStyle w:val="BodyText"/>
            </w:pPr>
            <w:r>
              <w:t>www.allens.com.au</w:t>
            </w:r>
          </w:p>
          <w:p w:rsidR="006116CD" w:rsidRDefault="006116CD">
            <w:pPr>
              <w:pStyle w:val="BodyText"/>
            </w:pPr>
          </w:p>
          <w:p w:rsidR="006116CD" w:rsidRPr="0094443A" w:rsidRDefault="006116CD">
            <w:pPr>
              <w:outlineLvl w:val="0"/>
              <w:rPr>
                <w:b/>
              </w:rPr>
            </w:pPr>
            <w:r>
              <w:rPr>
                <w:sz w:val="12"/>
              </w:rPr>
              <w:t xml:space="preserve">©  Allens Australia </w:t>
            </w:r>
            <w:r w:rsidR="007F1357">
              <w:rPr>
                <w:sz w:val="12"/>
              </w:rPr>
              <w:fldChar w:fldCharType="begin"/>
            </w:r>
            <w:r>
              <w:rPr>
                <w:sz w:val="12"/>
              </w:rPr>
              <w:instrText xml:space="preserve"> DATE \@ "yyyy" \* MERGEFORMAT </w:instrText>
            </w:r>
            <w:r w:rsidR="007F1357">
              <w:rPr>
                <w:sz w:val="12"/>
              </w:rPr>
              <w:fldChar w:fldCharType="separate"/>
            </w:r>
            <w:r w:rsidR="00373728">
              <w:rPr>
                <w:noProof/>
                <w:sz w:val="12"/>
              </w:rPr>
              <w:t>2016</w:t>
            </w:r>
            <w:r w:rsidR="007F1357">
              <w:rPr>
                <w:sz w:val="12"/>
              </w:rPr>
              <w:fldChar w:fldCharType="end"/>
            </w:r>
          </w:p>
          <w:p w:rsidR="006116CD" w:rsidRPr="006116CD" w:rsidRDefault="006116CD" w:rsidP="006116CD">
            <w:pPr>
              <w:spacing w:before="0" w:line="240" w:lineRule="auto"/>
              <w:rPr>
                <w:rFonts w:cs="Arial"/>
                <w:sz w:val="12"/>
                <w:lang w:eastAsia="en-US"/>
              </w:rPr>
            </w:pPr>
          </w:p>
        </w:tc>
      </w:tr>
    </w:tbl>
    <w:p w:rsidR="005419EE" w:rsidRDefault="005419EE" w:rsidP="005419EE"/>
    <w:p w:rsidR="005419EE" w:rsidRDefault="005419EE" w:rsidP="005419EE">
      <w:pPr>
        <w:sectPr w:rsidR="005419EE" w:rsidSect="00990313">
          <w:headerReference w:type="default" r:id="rId7"/>
          <w:footerReference w:type="default" r:id="rId8"/>
          <w:headerReference w:type="first" r:id="rId9"/>
          <w:footerReference w:type="first" r:id="rId10"/>
          <w:pgSz w:w="11907" w:h="16839" w:code="9"/>
          <w:pgMar w:top="1701" w:right="1134" w:bottom="1134" w:left="1417" w:header="567" w:footer="567" w:gutter="0"/>
          <w:cols w:space="720"/>
          <w:titlePg/>
          <w:docGrid w:linePitch="272"/>
        </w:sectPr>
      </w:pPr>
    </w:p>
    <w:p w:rsidR="001D5EE5" w:rsidRPr="00C53540" w:rsidRDefault="001D5EE5" w:rsidP="00F3275B">
      <w:pPr>
        <w:pStyle w:val="ContentsHeading"/>
      </w:pPr>
      <w:r w:rsidRPr="00C53540">
        <w:lastRenderedPageBreak/>
        <w:t>Contents</w:t>
      </w:r>
    </w:p>
    <w:p w:rsidR="00864F57" w:rsidRDefault="007F1357">
      <w:pPr>
        <w:pStyle w:val="TOC1"/>
        <w:rPr>
          <w:rFonts w:asciiTheme="minorHAnsi" w:eastAsiaTheme="minorEastAsia" w:hAnsiTheme="minorHAnsi" w:cstheme="minorBidi"/>
          <w:b w:val="0"/>
          <w:sz w:val="22"/>
          <w:szCs w:val="22"/>
          <w:lang w:eastAsia="en-AU"/>
        </w:rPr>
      </w:pPr>
      <w:r w:rsidRPr="007F1357">
        <w:rPr>
          <w:rFonts w:ascii="Arial" w:hAnsi="Arial"/>
        </w:rPr>
        <w:fldChar w:fldCharType="begin"/>
      </w:r>
      <w:r w:rsidR="00990313">
        <w:instrText>TOC \h \z \t "Schedule,1,Schedule Heading,2,Allens Heading 1,1,Allens Heading 2,2"</w:instrText>
      </w:r>
      <w:r w:rsidRPr="007F1357">
        <w:rPr>
          <w:rFonts w:ascii="Arial" w:hAnsi="Arial"/>
        </w:rPr>
        <w:fldChar w:fldCharType="separate"/>
      </w:r>
      <w:hyperlink w:anchor="_Toc437947564" w:history="1">
        <w:r w:rsidR="00864F57" w:rsidRPr="004C0F5D">
          <w:rPr>
            <w:rStyle w:val="Hyperlink"/>
          </w:rPr>
          <w:t>1</w:t>
        </w:r>
        <w:r w:rsidR="00864F57">
          <w:rPr>
            <w:rFonts w:asciiTheme="minorHAnsi" w:eastAsiaTheme="minorEastAsia" w:hAnsiTheme="minorHAnsi" w:cstheme="minorBidi"/>
            <w:b w:val="0"/>
            <w:sz w:val="22"/>
            <w:szCs w:val="22"/>
            <w:lang w:eastAsia="en-AU"/>
          </w:rPr>
          <w:tab/>
        </w:r>
        <w:r w:rsidR="00864F57" w:rsidRPr="004C0F5D">
          <w:rPr>
            <w:rStyle w:val="Hyperlink"/>
          </w:rPr>
          <w:t>Introduction</w:t>
        </w:r>
        <w:r w:rsidR="00864F57">
          <w:rPr>
            <w:webHidden/>
          </w:rPr>
          <w:tab/>
        </w:r>
        <w:r>
          <w:rPr>
            <w:webHidden/>
          </w:rPr>
          <w:fldChar w:fldCharType="begin"/>
        </w:r>
        <w:r w:rsidR="00864F57">
          <w:rPr>
            <w:webHidden/>
          </w:rPr>
          <w:instrText xml:space="preserve"> PAGEREF _Toc437947564 \h </w:instrText>
        </w:r>
        <w:r>
          <w:rPr>
            <w:webHidden/>
          </w:rPr>
        </w:r>
        <w:r>
          <w:rPr>
            <w:webHidden/>
          </w:rPr>
          <w:fldChar w:fldCharType="separate"/>
        </w:r>
        <w:r w:rsidR="000419E4">
          <w:rPr>
            <w:webHidden/>
          </w:rPr>
          <w:t>3</w:t>
        </w:r>
        <w:r>
          <w:rPr>
            <w:webHidden/>
          </w:rPr>
          <w:fldChar w:fldCharType="end"/>
        </w:r>
      </w:hyperlink>
    </w:p>
    <w:p w:rsidR="00864F57" w:rsidRDefault="007F1357">
      <w:pPr>
        <w:pStyle w:val="TOC1"/>
        <w:rPr>
          <w:rFonts w:asciiTheme="minorHAnsi" w:eastAsiaTheme="minorEastAsia" w:hAnsiTheme="minorHAnsi" w:cstheme="minorBidi"/>
          <w:b w:val="0"/>
          <w:sz w:val="22"/>
          <w:szCs w:val="22"/>
          <w:lang w:eastAsia="en-AU"/>
        </w:rPr>
      </w:pPr>
      <w:hyperlink w:anchor="_Toc437947565" w:history="1">
        <w:r w:rsidR="00864F57" w:rsidRPr="004C0F5D">
          <w:rPr>
            <w:rStyle w:val="Hyperlink"/>
          </w:rPr>
          <w:t>2</w:t>
        </w:r>
        <w:r w:rsidR="00864F57">
          <w:rPr>
            <w:rFonts w:asciiTheme="minorHAnsi" w:eastAsiaTheme="minorEastAsia" w:hAnsiTheme="minorHAnsi" w:cstheme="minorBidi"/>
            <w:b w:val="0"/>
            <w:sz w:val="22"/>
            <w:szCs w:val="22"/>
            <w:lang w:eastAsia="en-AU"/>
          </w:rPr>
          <w:tab/>
        </w:r>
        <w:r w:rsidR="00864F57" w:rsidRPr="004C0F5D">
          <w:rPr>
            <w:rStyle w:val="Hyperlink"/>
          </w:rPr>
          <w:t>Fringe Benefits Tax</w:t>
        </w:r>
        <w:r w:rsidR="00864F57">
          <w:rPr>
            <w:webHidden/>
          </w:rPr>
          <w:tab/>
        </w:r>
        <w:r>
          <w:rPr>
            <w:webHidden/>
          </w:rPr>
          <w:fldChar w:fldCharType="begin"/>
        </w:r>
        <w:r w:rsidR="00864F57">
          <w:rPr>
            <w:webHidden/>
          </w:rPr>
          <w:instrText xml:space="preserve"> PAGEREF _Toc437947565 \h </w:instrText>
        </w:r>
        <w:r>
          <w:rPr>
            <w:webHidden/>
          </w:rPr>
        </w:r>
        <w:r>
          <w:rPr>
            <w:webHidden/>
          </w:rPr>
          <w:fldChar w:fldCharType="separate"/>
        </w:r>
        <w:r w:rsidR="000419E4">
          <w:rPr>
            <w:webHidden/>
          </w:rPr>
          <w:t>4</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66" w:history="1">
        <w:r w:rsidR="00864F57" w:rsidRPr="004C0F5D">
          <w:rPr>
            <w:rStyle w:val="Hyperlink"/>
          </w:rPr>
          <w:t>2.1</w:t>
        </w:r>
        <w:r w:rsidR="00864F57">
          <w:rPr>
            <w:rFonts w:asciiTheme="minorHAnsi" w:eastAsiaTheme="minorEastAsia" w:hAnsiTheme="minorHAnsi" w:cstheme="minorBidi"/>
            <w:sz w:val="22"/>
            <w:szCs w:val="22"/>
            <w:lang w:eastAsia="en-AU"/>
          </w:rPr>
          <w:tab/>
        </w:r>
        <w:r w:rsidR="00864F57" w:rsidRPr="004C0F5D">
          <w:rPr>
            <w:rStyle w:val="Hyperlink"/>
          </w:rPr>
          <w:t>Benefit provided by employer to employee</w:t>
        </w:r>
        <w:r w:rsidR="00864F57">
          <w:rPr>
            <w:webHidden/>
          </w:rPr>
          <w:tab/>
        </w:r>
        <w:r>
          <w:rPr>
            <w:webHidden/>
          </w:rPr>
          <w:fldChar w:fldCharType="begin"/>
        </w:r>
        <w:r w:rsidR="00864F57">
          <w:rPr>
            <w:webHidden/>
          </w:rPr>
          <w:instrText xml:space="preserve"> PAGEREF _Toc437947566 \h </w:instrText>
        </w:r>
        <w:r>
          <w:rPr>
            <w:webHidden/>
          </w:rPr>
        </w:r>
        <w:r>
          <w:rPr>
            <w:webHidden/>
          </w:rPr>
          <w:fldChar w:fldCharType="separate"/>
        </w:r>
        <w:r w:rsidR="000419E4">
          <w:rPr>
            <w:webHidden/>
          </w:rPr>
          <w:t>4</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67" w:history="1">
        <w:r w:rsidR="00864F57" w:rsidRPr="004C0F5D">
          <w:rPr>
            <w:rStyle w:val="Hyperlink"/>
          </w:rPr>
          <w:t>2.2</w:t>
        </w:r>
        <w:r w:rsidR="00864F57">
          <w:rPr>
            <w:rFonts w:asciiTheme="minorHAnsi" w:eastAsiaTheme="minorEastAsia" w:hAnsiTheme="minorHAnsi" w:cstheme="minorBidi"/>
            <w:sz w:val="22"/>
            <w:szCs w:val="22"/>
            <w:lang w:eastAsia="en-AU"/>
          </w:rPr>
          <w:tab/>
        </w:r>
        <w:r w:rsidR="00864F57" w:rsidRPr="004C0F5D">
          <w:rPr>
            <w:rStyle w:val="Hyperlink"/>
          </w:rPr>
          <w:t>Benefit provided in respect of employment</w:t>
        </w:r>
        <w:r w:rsidR="00864F57">
          <w:rPr>
            <w:webHidden/>
          </w:rPr>
          <w:tab/>
        </w:r>
        <w:r>
          <w:rPr>
            <w:webHidden/>
          </w:rPr>
          <w:fldChar w:fldCharType="begin"/>
        </w:r>
        <w:r w:rsidR="00864F57">
          <w:rPr>
            <w:webHidden/>
          </w:rPr>
          <w:instrText xml:space="preserve"> PAGEREF _Toc437947567 \h </w:instrText>
        </w:r>
        <w:r>
          <w:rPr>
            <w:webHidden/>
          </w:rPr>
        </w:r>
        <w:r>
          <w:rPr>
            <w:webHidden/>
          </w:rPr>
          <w:fldChar w:fldCharType="separate"/>
        </w:r>
        <w:r w:rsidR="000419E4">
          <w:rPr>
            <w:webHidden/>
          </w:rPr>
          <w:t>5</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68" w:history="1">
        <w:r w:rsidR="00864F57" w:rsidRPr="004C0F5D">
          <w:rPr>
            <w:rStyle w:val="Hyperlink"/>
          </w:rPr>
          <w:t>2.3</w:t>
        </w:r>
        <w:r w:rsidR="00864F57">
          <w:rPr>
            <w:rFonts w:asciiTheme="minorHAnsi" w:eastAsiaTheme="minorEastAsia" w:hAnsiTheme="minorHAnsi" w:cstheme="minorBidi"/>
            <w:sz w:val="22"/>
            <w:szCs w:val="22"/>
            <w:lang w:eastAsia="en-AU"/>
          </w:rPr>
          <w:tab/>
        </w:r>
        <w:r w:rsidR="00864F57" w:rsidRPr="004C0F5D">
          <w:rPr>
            <w:rStyle w:val="Hyperlink"/>
          </w:rPr>
          <w:t>Taxable value of fringe benefits</w:t>
        </w:r>
        <w:r w:rsidR="00864F57">
          <w:rPr>
            <w:webHidden/>
          </w:rPr>
          <w:tab/>
        </w:r>
        <w:r>
          <w:rPr>
            <w:webHidden/>
          </w:rPr>
          <w:fldChar w:fldCharType="begin"/>
        </w:r>
        <w:r w:rsidR="00864F57">
          <w:rPr>
            <w:webHidden/>
          </w:rPr>
          <w:instrText xml:space="preserve"> PAGEREF _Toc437947568 \h </w:instrText>
        </w:r>
        <w:r>
          <w:rPr>
            <w:webHidden/>
          </w:rPr>
        </w:r>
        <w:r>
          <w:rPr>
            <w:webHidden/>
          </w:rPr>
          <w:fldChar w:fldCharType="separate"/>
        </w:r>
        <w:r w:rsidR="000419E4">
          <w:rPr>
            <w:webHidden/>
          </w:rPr>
          <w:t>6</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69" w:history="1">
        <w:r w:rsidR="00864F57" w:rsidRPr="004C0F5D">
          <w:rPr>
            <w:rStyle w:val="Hyperlink"/>
          </w:rPr>
          <w:t>2.4</w:t>
        </w:r>
        <w:r w:rsidR="00864F57">
          <w:rPr>
            <w:rFonts w:asciiTheme="minorHAnsi" w:eastAsiaTheme="minorEastAsia" w:hAnsiTheme="minorHAnsi" w:cstheme="minorBidi"/>
            <w:sz w:val="22"/>
            <w:szCs w:val="22"/>
            <w:lang w:eastAsia="en-AU"/>
          </w:rPr>
          <w:tab/>
        </w:r>
        <w:r w:rsidR="00864F57" w:rsidRPr="004C0F5D">
          <w:rPr>
            <w:rStyle w:val="Hyperlink"/>
          </w:rPr>
          <w:t>FBT Gross-up Formulae</w:t>
        </w:r>
        <w:r w:rsidR="00864F57">
          <w:rPr>
            <w:webHidden/>
          </w:rPr>
          <w:tab/>
        </w:r>
        <w:r>
          <w:rPr>
            <w:webHidden/>
          </w:rPr>
          <w:fldChar w:fldCharType="begin"/>
        </w:r>
        <w:r w:rsidR="00864F57">
          <w:rPr>
            <w:webHidden/>
          </w:rPr>
          <w:instrText xml:space="preserve"> PAGEREF _Toc437947569 \h </w:instrText>
        </w:r>
        <w:r>
          <w:rPr>
            <w:webHidden/>
          </w:rPr>
        </w:r>
        <w:r>
          <w:rPr>
            <w:webHidden/>
          </w:rPr>
          <w:fldChar w:fldCharType="separate"/>
        </w:r>
        <w:r w:rsidR="000419E4">
          <w:rPr>
            <w:webHidden/>
          </w:rPr>
          <w:t>7</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0" w:history="1">
        <w:r w:rsidR="00864F57" w:rsidRPr="004C0F5D">
          <w:rPr>
            <w:rStyle w:val="Hyperlink"/>
          </w:rPr>
          <w:t>2.5</w:t>
        </w:r>
        <w:r w:rsidR="00864F57">
          <w:rPr>
            <w:rFonts w:asciiTheme="minorHAnsi" w:eastAsiaTheme="minorEastAsia" w:hAnsiTheme="minorHAnsi" w:cstheme="minorBidi"/>
            <w:sz w:val="22"/>
            <w:szCs w:val="22"/>
            <w:lang w:eastAsia="en-AU"/>
          </w:rPr>
          <w:tab/>
        </w:r>
        <w:r w:rsidR="00864F57" w:rsidRPr="004C0F5D">
          <w:rPr>
            <w:rStyle w:val="Hyperlink"/>
          </w:rPr>
          <w:t>Effective salary sacrifice arrangements</w:t>
        </w:r>
        <w:r w:rsidR="00864F57">
          <w:rPr>
            <w:webHidden/>
          </w:rPr>
          <w:tab/>
        </w:r>
        <w:r>
          <w:rPr>
            <w:webHidden/>
          </w:rPr>
          <w:fldChar w:fldCharType="begin"/>
        </w:r>
        <w:r w:rsidR="00864F57">
          <w:rPr>
            <w:webHidden/>
          </w:rPr>
          <w:instrText xml:space="preserve"> PAGEREF _Toc437947570 \h </w:instrText>
        </w:r>
        <w:r>
          <w:rPr>
            <w:webHidden/>
          </w:rPr>
        </w:r>
        <w:r>
          <w:rPr>
            <w:webHidden/>
          </w:rPr>
          <w:fldChar w:fldCharType="separate"/>
        </w:r>
        <w:r w:rsidR="000419E4">
          <w:rPr>
            <w:webHidden/>
          </w:rPr>
          <w:t>8</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1" w:history="1">
        <w:r w:rsidR="00864F57" w:rsidRPr="004C0F5D">
          <w:rPr>
            <w:rStyle w:val="Hyperlink"/>
          </w:rPr>
          <w:t>2.6</w:t>
        </w:r>
        <w:r w:rsidR="00864F57">
          <w:rPr>
            <w:rFonts w:asciiTheme="minorHAnsi" w:eastAsiaTheme="minorEastAsia" w:hAnsiTheme="minorHAnsi" w:cstheme="minorBidi"/>
            <w:sz w:val="22"/>
            <w:szCs w:val="22"/>
            <w:lang w:eastAsia="en-AU"/>
          </w:rPr>
          <w:tab/>
        </w:r>
        <w:r w:rsidR="00864F57" w:rsidRPr="004C0F5D">
          <w:rPr>
            <w:rStyle w:val="Hyperlink"/>
          </w:rPr>
          <w:t>Fully taxable fringe benefits</w:t>
        </w:r>
        <w:r w:rsidR="00864F57">
          <w:rPr>
            <w:webHidden/>
          </w:rPr>
          <w:tab/>
        </w:r>
        <w:r>
          <w:rPr>
            <w:webHidden/>
          </w:rPr>
          <w:fldChar w:fldCharType="begin"/>
        </w:r>
        <w:r w:rsidR="00864F57">
          <w:rPr>
            <w:webHidden/>
          </w:rPr>
          <w:instrText xml:space="preserve"> PAGEREF _Toc437947571 \h </w:instrText>
        </w:r>
        <w:r>
          <w:rPr>
            <w:webHidden/>
          </w:rPr>
        </w:r>
        <w:r>
          <w:rPr>
            <w:webHidden/>
          </w:rPr>
          <w:fldChar w:fldCharType="separate"/>
        </w:r>
        <w:r w:rsidR="000419E4">
          <w:rPr>
            <w:webHidden/>
          </w:rPr>
          <w:t>9</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2" w:history="1">
        <w:r w:rsidR="00864F57" w:rsidRPr="004C0F5D">
          <w:rPr>
            <w:rStyle w:val="Hyperlink"/>
          </w:rPr>
          <w:t>2.7</w:t>
        </w:r>
        <w:r w:rsidR="00864F57">
          <w:rPr>
            <w:rFonts w:asciiTheme="minorHAnsi" w:eastAsiaTheme="minorEastAsia" w:hAnsiTheme="minorHAnsi" w:cstheme="minorBidi"/>
            <w:sz w:val="22"/>
            <w:szCs w:val="22"/>
            <w:lang w:eastAsia="en-AU"/>
          </w:rPr>
          <w:tab/>
        </w:r>
        <w:r w:rsidR="00864F57" w:rsidRPr="004C0F5D">
          <w:rPr>
            <w:rStyle w:val="Hyperlink"/>
          </w:rPr>
          <w:t>Otherwise deductible rule</w:t>
        </w:r>
        <w:r w:rsidR="00864F57">
          <w:rPr>
            <w:webHidden/>
          </w:rPr>
          <w:tab/>
        </w:r>
        <w:r>
          <w:rPr>
            <w:webHidden/>
          </w:rPr>
          <w:fldChar w:fldCharType="begin"/>
        </w:r>
        <w:r w:rsidR="00864F57">
          <w:rPr>
            <w:webHidden/>
          </w:rPr>
          <w:instrText xml:space="preserve"> PAGEREF _Toc437947572 \h </w:instrText>
        </w:r>
        <w:r>
          <w:rPr>
            <w:webHidden/>
          </w:rPr>
        </w:r>
        <w:r>
          <w:rPr>
            <w:webHidden/>
          </w:rPr>
          <w:fldChar w:fldCharType="separate"/>
        </w:r>
        <w:r w:rsidR="000419E4">
          <w:rPr>
            <w:webHidden/>
          </w:rPr>
          <w:t>10</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3" w:history="1">
        <w:r w:rsidR="00864F57" w:rsidRPr="004C0F5D">
          <w:rPr>
            <w:rStyle w:val="Hyperlink"/>
          </w:rPr>
          <w:t>2.8</w:t>
        </w:r>
        <w:r w:rsidR="00864F57">
          <w:rPr>
            <w:rFonts w:asciiTheme="minorHAnsi" w:eastAsiaTheme="minorEastAsia" w:hAnsiTheme="minorHAnsi" w:cstheme="minorBidi"/>
            <w:sz w:val="22"/>
            <w:szCs w:val="22"/>
            <w:lang w:eastAsia="en-AU"/>
          </w:rPr>
          <w:tab/>
        </w:r>
        <w:r w:rsidR="00864F57" w:rsidRPr="004C0F5D">
          <w:rPr>
            <w:rStyle w:val="Hyperlink"/>
          </w:rPr>
          <w:t>Twelve categories of fringe benefits</w:t>
        </w:r>
        <w:r w:rsidR="00864F57">
          <w:rPr>
            <w:webHidden/>
          </w:rPr>
          <w:tab/>
        </w:r>
        <w:r>
          <w:rPr>
            <w:webHidden/>
          </w:rPr>
          <w:fldChar w:fldCharType="begin"/>
        </w:r>
        <w:r w:rsidR="00864F57">
          <w:rPr>
            <w:webHidden/>
          </w:rPr>
          <w:instrText xml:space="preserve"> PAGEREF _Toc437947573 \h </w:instrText>
        </w:r>
        <w:r>
          <w:rPr>
            <w:webHidden/>
          </w:rPr>
        </w:r>
        <w:r>
          <w:rPr>
            <w:webHidden/>
          </w:rPr>
          <w:fldChar w:fldCharType="separate"/>
        </w:r>
        <w:r w:rsidR="000419E4">
          <w:rPr>
            <w:webHidden/>
          </w:rPr>
          <w:t>11</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4" w:history="1">
        <w:r w:rsidR="00864F57" w:rsidRPr="004C0F5D">
          <w:rPr>
            <w:rStyle w:val="Hyperlink"/>
          </w:rPr>
          <w:t>2.9</w:t>
        </w:r>
        <w:r w:rsidR="00864F57">
          <w:rPr>
            <w:rFonts w:asciiTheme="minorHAnsi" w:eastAsiaTheme="minorEastAsia" w:hAnsiTheme="minorHAnsi" w:cstheme="minorBidi"/>
            <w:sz w:val="22"/>
            <w:szCs w:val="22"/>
            <w:lang w:eastAsia="en-AU"/>
          </w:rPr>
          <w:tab/>
        </w:r>
        <w:r w:rsidR="00864F57" w:rsidRPr="004C0F5D">
          <w:rPr>
            <w:rStyle w:val="Hyperlink"/>
          </w:rPr>
          <w:t>FBT exempt benefits</w:t>
        </w:r>
        <w:r w:rsidR="00864F57">
          <w:rPr>
            <w:webHidden/>
          </w:rPr>
          <w:tab/>
        </w:r>
        <w:r>
          <w:rPr>
            <w:webHidden/>
          </w:rPr>
          <w:fldChar w:fldCharType="begin"/>
        </w:r>
        <w:r w:rsidR="00864F57">
          <w:rPr>
            <w:webHidden/>
          </w:rPr>
          <w:instrText xml:space="preserve"> PAGEREF _Toc437947574 \h </w:instrText>
        </w:r>
        <w:r>
          <w:rPr>
            <w:webHidden/>
          </w:rPr>
        </w:r>
        <w:r>
          <w:rPr>
            <w:webHidden/>
          </w:rPr>
          <w:fldChar w:fldCharType="separate"/>
        </w:r>
        <w:r w:rsidR="000419E4">
          <w:rPr>
            <w:webHidden/>
          </w:rPr>
          <w:t>12</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5" w:history="1">
        <w:r w:rsidR="00864F57" w:rsidRPr="004C0F5D">
          <w:rPr>
            <w:rStyle w:val="Hyperlink"/>
          </w:rPr>
          <w:t>2.10</w:t>
        </w:r>
        <w:r w:rsidR="00864F57">
          <w:rPr>
            <w:rFonts w:asciiTheme="minorHAnsi" w:eastAsiaTheme="minorEastAsia" w:hAnsiTheme="minorHAnsi" w:cstheme="minorBidi"/>
            <w:sz w:val="22"/>
            <w:szCs w:val="22"/>
            <w:lang w:eastAsia="en-AU"/>
          </w:rPr>
          <w:tab/>
        </w:r>
        <w:r w:rsidR="00864F57" w:rsidRPr="004C0F5D">
          <w:rPr>
            <w:rStyle w:val="Hyperlink"/>
          </w:rPr>
          <w:t>$31,177 FBT exemption for PBI employers</w:t>
        </w:r>
        <w:r w:rsidR="00864F57">
          <w:rPr>
            <w:webHidden/>
          </w:rPr>
          <w:tab/>
        </w:r>
        <w:r>
          <w:rPr>
            <w:webHidden/>
          </w:rPr>
          <w:fldChar w:fldCharType="begin"/>
        </w:r>
        <w:r w:rsidR="00864F57">
          <w:rPr>
            <w:webHidden/>
          </w:rPr>
          <w:instrText xml:space="preserve"> PAGEREF _Toc437947575 \h </w:instrText>
        </w:r>
        <w:r>
          <w:rPr>
            <w:webHidden/>
          </w:rPr>
        </w:r>
        <w:r>
          <w:rPr>
            <w:webHidden/>
          </w:rPr>
          <w:fldChar w:fldCharType="separate"/>
        </w:r>
        <w:r w:rsidR="000419E4">
          <w:rPr>
            <w:webHidden/>
          </w:rPr>
          <w:t>13</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6" w:history="1">
        <w:r w:rsidR="00864F57" w:rsidRPr="004C0F5D">
          <w:rPr>
            <w:rStyle w:val="Hyperlink"/>
          </w:rPr>
          <w:t>2.11</w:t>
        </w:r>
        <w:r w:rsidR="00864F57">
          <w:rPr>
            <w:rFonts w:asciiTheme="minorHAnsi" w:eastAsiaTheme="minorEastAsia" w:hAnsiTheme="minorHAnsi" w:cstheme="minorBidi"/>
            <w:sz w:val="22"/>
            <w:szCs w:val="22"/>
            <w:lang w:eastAsia="en-AU"/>
          </w:rPr>
          <w:tab/>
        </w:r>
        <w:r w:rsidR="00864F57" w:rsidRPr="004C0F5D">
          <w:rPr>
            <w:rStyle w:val="Hyperlink"/>
          </w:rPr>
          <w:t>FBT rebate</w:t>
        </w:r>
        <w:r w:rsidR="00864F57">
          <w:rPr>
            <w:webHidden/>
          </w:rPr>
          <w:tab/>
        </w:r>
        <w:r>
          <w:rPr>
            <w:webHidden/>
          </w:rPr>
          <w:fldChar w:fldCharType="begin"/>
        </w:r>
        <w:r w:rsidR="00864F57">
          <w:rPr>
            <w:webHidden/>
          </w:rPr>
          <w:instrText xml:space="preserve"> PAGEREF _Toc437947576 \h </w:instrText>
        </w:r>
        <w:r>
          <w:rPr>
            <w:webHidden/>
          </w:rPr>
        </w:r>
        <w:r>
          <w:rPr>
            <w:webHidden/>
          </w:rPr>
          <w:fldChar w:fldCharType="separate"/>
        </w:r>
        <w:r w:rsidR="000419E4">
          <w:rPr>
            <w:webHidden/>
          </w:rPr>
          <w:t>14</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7" w:history="1">
        <w:r w:rsidR="00864F57" w:rsidRPr="004C0F5D">
          <w:rPr>
            <w:rStyle w:val="Hyperlink"/>
          </w:rPr>
          <w:t>2.12</w:t>
        </w:r>
        <w:r w:rsidR="00864F57">
          <w:rPr>
            <w:rFonts w:asciiTheme="minorHAnsi" w:eastAsiaTheme="minorEastAsia" w:hAnsiTheme="minorHAnsi" w:cstheme="minorBidi"/>
            <w:sz w:val="22"/>
            <w:szCs w:val="22"/>
            <w:lang w:eastAsia="en-AU"/>
          </w:rPr>
          <w:tab/>
        </w:r>
        <w:r w:rsidR="00864F57" w:rsidRPr="004C0F5D">
          <w:rPr>
            <w:rStyle w:val="Hyperlink"/>
          </w:rPr>
          <w:t>Prepaid employee benefits cards</w:t>
        </w:r>
        <w:r w:rsidR="00864F57">
          <w:rPr>
            <w:webHidden/>
          </w:rPr>
          <w:tab/>
        </w:r>
        <w:r>
          <w:rPr>
            <w:webHidden/>
          </w:rPr>
          <w:fldChar w:fldCharType="begin"/>
        </w:r>
        <w:r w:rsidR="00864F57">
          <w:rPr>
            <w:webHidden/>
          </w:rPr>
          <w:instrText xml:space="preserve"> PAGEREF _Toc437947577 \h </w:instrText>
        </w:r>
        <w:r>
          <w:rPr>
            <w:webHidden/>
          </w:rPr>
        </w:r>
        <w:r>
          <w:rPr>
            <w:webHidden/>
          </w:rPr>
          <w:fldChar w:fldCharType="separate"/>
        </w:r>
        <w:r w:rsidR="000419E4">
          <w:rPr>
            <w:webHidden/>
          </w:rPr>
          <w:t>15</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8" w:history="1">
        <w:r w:rsidR="00864F57" w:rsidRPr="004C0F5D">
          <w:rPr>
            <w:rStyle w:val="Hyperlink"/>
          </w:rPr>
          <w:t>2.13</w:t>
        </w:r>
        <w:r w:rsidR="00864F57">
          <w:rPr>
            <w:rFonts w:asciiTheme="minorHAnsi" w:eastAsiaTheme="minorEastAsia" w:hAnsiTheme="minorHAnsi" w:cstheme="minorBidi"/>
            <w:sz w:val="22"/>
            <w:szCs w:val="22"/>
            <w:lang w:eastAsia="en-AU"/>
          </w:rPr>
          <w:tab/>
        </w:r>
        <w:r w:rsidR="00864F57" w:rsidRPr="004C0F5D">
          <w:rPr>
            <w:rStyle w:val="Hyperlink"/>
          </w:rPr>
          <w:t>Record-keeping</w:t>
        </w:r>
        <w:r w:rsidR="00864F57">
          <w:rPr>
            <w:webHidden/>
          </w:rPr>
          <w:tab/>
        </w:r>
        <w:r>
          <w:rPr>
            <w:webHidden/>
          </w:rPr>
          <w:fldChar w:fldCharType="begin"/>
        </w:r>
        <w:r w:rsidR="00864F57">
          <w:rPr>
            <w:webHidden/>
          </w:rPr>
          <w:instrText xml:space="preserve"> PAGEREF _Toc437947578 \h </w:instrText>
        </w:r>
        <w:r>
          <w:rPr>
            <w:webHidden/>
          </w:rPr>
        </w:r>
        <w:r>
          <w:rPr>
            <w:webHidden/>
          </w:rPr>
          <w:fldChar w:fldCharType="separate"/>
        </w:r>
        <w:r w:rsidR="000419E4">
          <w:rPr>
            <w:webHidden/>
          </w:rPr>
          <w:t>16</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79" w:history="1">
        <w:r w:rsidR="00864F57" w:rsidRPr="004C0F5D">
          <w:rPr>
            <w:rStyle w:val="Hyperlink"/>
          </w:rPr>
          <w:t>2.14</w:t>
        </w:r>
        <w:r w:rsidR="00864F57">
          <w:rPr>
            <w:rFonts w:asciiTheme="minorHAnsi" w:eastAsiaTheme="minorEastAsia" w:hAnsiTheme="minorHAnsi" w:cstheme="minorBidi"/>
            <w:sz w:val="22"/>
            <w:szCs w:val="22"/>
            <w:lang w:eastAsia="en-AU"/>
          </w:rPr>
          <w:tab/>
        </w:r>
        <w:r w:rsidR="00864F57" w:rsidRPr="004C0F5D">
          <w:rPr>
            <w:rStyle w:val="Hyperlink"/>
          </w:rPr>
          <w:t>Excluded fringe benefits</w:t>
        </w:r>
        <w:r w:rsidR="00864F57">
          <w:rPr>
            <w:webHidden/>
          </w:rPr>
          <w:tab/>
        </w:r>
        <w:r>
          <w:rPr>
            <w:webHidden/>
          </w:rPr>
          <w:fldChar w:fldCharType="begin"/>
        </w:r>
        <w:r w:rsidR="00864F57">
          <w:rPr>
            <w:webHidden/>
          </w:rPr>
          <w:instrText xml:space="preserve"> PAGEREF _Toc437947579 \h </w:instrText>
        </w:r>
        <w:r>
          <w:rPr>
            <w:webHidden/>
          </w:rPr>
        </w:r>
        <w:r>
          <w:rPr>
            <w:webHidden/>
          </w:rPr>
          <w:fldChar w:fldCharType="separate"/>
        </w:r>
        <w:r w:rsidR="000419E4">
          <w:rPr>
            <w:webHidden/>
          </w:rPr>
          <w:t>17</w:t>
        </w:r>
        <w:r>
          <w:rPr>
            <w:webHidden/>
          </w:rPr>
          <w:fldChar w:fldCharType="end"/>
        </w:r>
      </w:hyperlink>
    </w:p>
    <w:p w:rsidR="00864F57" w:rsidRDefault="007F1357">
      <w:pPr>
        <w:pStyle w:val="TOC1"/>
        <w:rPr>
          <w:rFonts w:asciiTheme="minorHAnsi" w:eastAsiaTheme="minorEastAsia" w:hAnsiTheme="minorHAnsi" w:cstheme="minorBidi"/>
          <w:b w:val="0"/>
          <w:sz w:val="22"/>
          <w:szCs w:val="22"/>
          <w:lang w:eastAsia="en-AU"/>
        </w:rPr>
      </w:pPr>
      <w:hyperlink w:anchor="_Toc437947580" w:history="1">
        <w:r w:rsidR="00864F57" w:rsidRPr="004C0F5D">
          <w:rPr>
            <w:rStyle w:val="Hyperlink"/>
          </w:rPr>
          <w:t>3</w:t>
        </w:r>
        <w:r w:rsidR="00864F57">
          <w:rPr>
            <w:rFonts w:asciiTheme="minorHAnsi" w:eastAsiaTheme="minorEastAsia" w:hAnsiTheme="minorHAnsi" w:cstheme="minorBidi"/>
            <w:b w:val="0"/>
            <w:sz w:val="22"/>
            <w:szCs w:val="22"/>
            <w:lang w:eastAsia="en-AU"/>
          </w:rPr>
          <w:tab/>
        </w:r>
        <w:r w:rsidR="00864F57" w:rsidRPr="004C0F5D">
          <w:rPr>
            <w:rStyle w:val="Hyperlink"/>
          </w:rPr>
          <w:t>Salary packaging examples</w:t>
        </w:r>
        <w:r w:rsidR="00864F57">
          <w:rPr>
            <w:webHidden/>
          </w:rPr>
          <w:tab/>
        </w:r>
        <w:r>
          <w:rPr>
            <w:webHidden/>
          </w:rPr>
          <w:fldChar w:fldCharType="begin"/>
        </w:r>
        <w:r w:rsidR="00864F57">
          <w:rPr>
            <w:webHidden/>
          </w:rPr>
          <w:instrText xml:space="preserve"> PAGEREF _Toc437947580 \h </w:instrText>
        </w:r>
        <w:r>
          <w:rPr>
            <w:webHidden/>
          </w:rPr>
        </w:r>
        <w:r>
          <w:rPr>
            <w:webHidden/>
          </w:rPr>
          <w:fldChar w:fldCharType="separate"/>
        </w:r>
        <w:r w:rsidR="000419E4">
          <w:rPr>
            <w:webHidden/>
          </w:rPr>
          <w:t>18</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81" w:history="1">
        <w:r w:rsidR="00864F57" w:rsidRPr="004C0F5D">
          <w:rPr>
            <w:rStyle w:val="Hyperlink"/>
          </w:rPr>
          <w:t>3.1</w:t>
        </w:r>
        <w:r w:rsidR="00864F57">
          <w:rPr>
            <w:rFonts w:asciiTheme="minorHAnsi" w:eastAsiaTheme="minorEastAsia" w:hAnsiTheme="minorHAnsi" w:cstheme="minorBidi"/>
            <w:sz w:val="22"/>
            <w:szCs w:val="22"/>
            <w:lang w:eastAsia="en-AU"/>
          </w:rPr>
          <w:tab/>
        </w:r>
        <w:r w:rsidR="00864F57" w:rsidRPr="004C0F5D">
          <w:rPr>
            <w:rStyle w:val="Hyperlink"/>
          </w:rPr>
          <w:t>Employee with a gross salary of $100,000</w:t>
        </w:r>
        <w:r w:rsidR="00864F57">
          <w:rPr>
            <w:webHidden/>
          </w:rPr>
          <w:tab/>
        </w:r>
        <w:r>
          <w:rPr>
            <w:webHidden/>
          </w:rPr>
          <w:fldChar w:fldCharType="begin"/>
        </w:r>
        <w:r w:rsidR="00864F57">
          <w:rPr>
            <w:webHidden/>
          </w:rPr>
          <w:instrText xml:space="preserve"> PAGEREF _Toc437947581 \h </w:instrText>
        </w:r>
        <w:r>
          <w:rPr>
            <w:webHidden/>
          </w:rPr>
        </w:r>
        <w:r>
          <w:rPr>
            <w:webHidden/>
          </w:rPr>
          <w:fldChar w:fldCharType="separate"/>
        </w:r>
        <w:r w:rsidR="000419E4">
          <w:rPr>
            <w:webHidden/>
          </w:rPr>
          <w:t>18</w:t>
        </w:r>
        <w:r>
          <w:rPr>
            <w:webHidden/>
          </w:rPr>
          <w:fldChar w:fldCharType="end"/>
        </w:r>
      </w:hyperlink>
    </w:p>
    <w:p w:rsidR="00864F57" w:rsidRDefault="007F1357">
      <w:pPr>
        <w:pStyle w:val="TOC2"/>
        <w:tabs>
          <w:tab w:val="left" w:pos="1418"/>
        </w:tabs>
        <w:rPr>
          <w:rFonts w:asciiTheme="minorHAnsi" w:eastAsiaTheme="minorEastAsia" w:hAnsiTheme="minorHAnsi" w:cstheme="minorBidi"/>
          <w:sz w:val="22"/>
          <w:szCs w:val="22"/>
          <w:lang w:eastAsia="en-AU"/>
        </w:rPr>
      </w:pPr>
      <w:hyperlink w:anchor="_Toc437947582" w:history="1">
        <w:r w:rsidR="00864F57" w:rsidRPr="004C0F5D">
          <w:rPr>
            <w:rStyle w:val="Hyperlink"/>
          </w:rPr>
          <w:t>3.2</w:t>
        </w:r>
        <w:r w:rsidR="00864F57">
          <w:rPr>
            <w:rFonts w:asciiTheme="minorHAnsi" w:eastAsiaTheme="minorEastAsia" w:hAnsiTheme="minorHAnsi" w:cstheme="minorBidi"/>
            <w:sz w:val="22"/>
            <w:szCs w:val="22"/>
            <w:lang w:eastAsia="en-AU"/>
          </w:rPr>
          <w:tab/>
        </w:r>
        <w:r w:rsidR="00864F57" w:rsidRPr="004C0F5D">
          <w:rPr>
            <w:rStyle w:val="Hyperlink"/>
          </w:rPr>
          <w:t>Employee with a gross salary of $61,000</w:t>
        </w:r>
        <w:r w:rsidR="00864F57">
          <w:rPr>
            <w:webHidden/>
          </w:rPr>
          <w:tab/>
        </w:r>
        <w:r>
          <w:rPr>
            <w:webHidden/>
          </w:rPr>
          <w:fldChar w:fldCharType="begin"/>
        </w:r>
        <w:r w:rsidR="00864F57">
          <w:rPr>
            <w:webHidden/>
          </w:rPr>
          <w:instrText xml:space="preserve"> PAGEREF _Toc437947582 \h </w:instrText>
        </w:r>
        <w:r>
          <w:rPr>
            <w:webHidden/>
          </w:rPr>
        </w:r>
        <w:r>
          <w:rPr>
            <w:webHidden/>
          </w:rPr>
          <w:fldChar w:fldCharType="separate"/>
        </w:r>
        <w:r w:rsidR="000419E4">
          <w:rPr>
            <w:webHidden/>
          </w:rPr>
          <w:t>19</w:t>
        </w:r>
        <w:r>
          <w:rPr>
            <w:webHidden/>
          </w:rPr>
          <w:fldChar w:fldCharType="end"/>
        </w:r>
      </w:hyperlink>
    </w:p>
    <w:p w:rsidR="00864F57" w:rsidRDefault="007F1357">
      <w:pPr>
        <w:pStyle w:val="TOC1"/>
        <w:rPr>
          <w:rFonts w:asciiTheme="minorHAnsi" w:eastAsiaTheme="minorEastAsia" w:hAnsiTheme="minorHAnsi" w:cstheme="minorBidi"/>
          <w:b w:val="0"/>
          <w:sz w:val="22"/>
          <w:szCs w:val="22"/>
          <w:lang w:eastAsia="en-AU"/>
        </w:rPr>
      </w:pPr>
      <w:hyperlink w:anchor="_Toc437947583" w:history="1">
        <w:r w:rsidR="00864F57" w:rsidRPr="004C0F5D">
          <w:rPr>
            <w:rStyle w:val="Hyperlink"/>
          </w:rPr>
          <w:t>4</w:t>
        </w:r>
        <w:r w:rsidR="00864F57">
          <w:rPr>
            <w:rFonts w:asciiTheme="minorHAnsi" w:eastAsiaTheme="minorEastAsia" w:hAnsiTheme="minorHAnsi" w:cstheme="minorBidi"/>
            <w:b w:val="0"/>
            <w:sz w:val="22"/>
            <w:szCs w:val="22"/>
            <w:lang w:eastAsia="en-AU"/>
          </w:rPr>
          <w:tab/>
        </w:r>
        <w:r w:rsidR="00864F57" w:rsidRPr="004C0F5D">
          <w:rPr>
            <w:rStyle w:val="Hyperlink"/>
          </w:rPr>
          <w:t>FBT broadsheet for employees</w:t>
        </w:r>
        <w:r w:rsidR="00864F57">
          <w:rPr>
            <w:webHidden/>
          </w:rPr>
          <w:tab/>
        </w:r>
        <w:r>
          <w:rPr>
            <w:webHidden/>
          </w:rPr>
          <w:fldChar w:fldCharType="begin"/>
        </w:r>
        <w:r w:rsidR="00864F57">
          <w:rPr>
            <w:webHidden/>
          </w:rPr>
          <w:instrText xml:space="preserve"> PAGEREF _Toc437947583 \h </w:instrText>
        </w:r>
        <w:r>
          <w:rPr>
            <w:webHidden/>
          </w:rPr>
        </w:r>
        <w:r>
          <w:rPr>
            <w:webHidden/>
          </w:rPr>
          <w:fldChar w:fldCharType="separate"/>
        </w:r>
        <w:r w:rsidR="000419E4">
          <w:rPr>
            <w:webHidden/>
          </w:rPr>
          <w:t>20</w:t>
        </w:r>
        <w:r>
          <w:rPr>
            <w:webHidden/>
          </w:rPr>
          <w:fldChar w:fldCharType="end"/>
        </w:r>
      </w:hyperlink>
    </w:p>
    <w:p w:rsidR="00864F57" w:rsidRDefault="007F1357">
      <w:pPr>
        <w:pStyle w:val="TOC1"/>
        <w:rPr>
          <w:rFonts w:asciiTheme="minorHAnsi" w:eastAsiaTheme="minorEastAsia" w:hAnsiTheme="minorHAnsi" w:cstheme="minorBidi"/>
          <w:b w:val="0"/>
          <w:sz w:val="22"/>
          <w:szCs w:val="22"/>
          <w:lang w:eastAsia="en-AU"/>
        </w:rPr>
      </w:pPr>
      <w:hyperlink w:anchor="_Toc437947584" w:history="1">
        <w:r w:rsidR="00864F57" w:rsidRPr="004C0F5D">
          <w:rPr>
            <w:rStyle w:val="Hyperlink"/>
          </w:rPr>
          <w:t>Schedule 1 - Summary of Fringe Benefits Categories</w:t>
        </w:r>
        <w:r w:rsidR="00864F57">
          <w:rPr>
            <w:webHidden/>
          </w:rPr>
          <w:tab/>
        </w:r>
        <w:r>
          <w:rPr>
            <w:webHidden/>
          </w:rPr>
          <w:fldChar w:fldCharType="begin"/>
        </w:r>
        <w:r w:rsidR="00864F57">
          <w:rPr>
            <w:webHidden/>
          </w:rPr>
          <w:instrText xml:space="preserve"> PAGEREF _Toc437947584 \h </w:instrText>
        </w:r>
        <w:r>
          <w:rPr>
            <w:webHidden/>
          </w:rPr>
        </w:r>
        <w:r>
          <w:rPr>
            <w:webHidden/>
          </w:rPr>
          <w:fldChar w:fldCharType="separate"/>
        </w:r>
        <w:r w:rsidR="000419E4">
          <w:rPr>
            <w:webHidden/>
          </w:rPr>
          <w:t>23</w:t>
        </w:r>
        <w:r>
          <w:rPr>
            <w:webHidden/>
          </w:rPr>
          <w:fldChar w:fldCharType="end"/>
        </w:r>
      </w:hyperlink>
    </w:p>
    <w:p w:rsidR="006116CD" w:rsidRDefault="007F1357" w:rsidP="005419EE">
      <w:r>
        <w:fldChar w:fldCharType="end"/>
      </w:r>
    </w:p>
    <w:p w:rsidR="00F41461" w:rsidRDefault="00F41461" w:rsidP="005419EE">
      <w:pPr>
        <w:sectPr w:rsidR="00F41461" w:rsidSect="00990313">
          <w:headerReference w:type="first" r:id="rId11"/>
          <w:footerReference w:type="first" r:id="rId12"/>
          <w:pgSz w:w="11907" w:h="16839" w:code="9"/>
          <w:pgMar w:top="1701" w:right="1134" w:bottom="1134" w:left="1417" w:header="567" w:footer="567" w:gutter="0"/>
          <w:cols w:space="720"/>
          <w:titlePg/>
          <w:docGrid w:linePitch="272"/>
        </w:sectPr>
      </w:pPr>
    </w:p>
    <w:p w:rsidR="00F41461" w:rsidRPr="00955FF7" w:rsidRDefault="00F41461" w:rsidP="00990313">
      <w:pPr>
        <w:pStyle w:val="AllensHeading1"/>
      </w:pPr>
      <w:bookmarkStart w:id="4" w:name="_Toc377664365"/>
      <w:bookmarkStart w:id="5" w:name="_Ref411753708"/>
      <w:bookmarkStart w:id="6" w:name="_Ref411754740"/>
      <w:bookmarkStart w:id="7" w:name="_Toc437947564"/>
      <w:r w:rsidRPr="00955FF7">
        <w:lastRenderedPageBreak/>
        <w:t>Introduction</w:t>
      </w:r>
      <w:bookmarkEnd w:id="4"/>
      <w:bookmarkEnd w:id="5"/>
      <w:bookmarkEnd w:id="6"/>
      <w:bookmarkEnd w:id="7"/>
    </w:p>
    <w:p w:rsidR="0076095C" w:rsidRDefault="00F41461" w:rsidP="00990313">
      <w:pPr>
        <w:ind w:left="709"/>
      </w:pPr>
      <w:r>
        <w:t>The purpose of this booklet is to outline the salary</w:t>
      </w:r>
      <w:r w:rsidR="003932C8">
        <w:t xml:space="preserve"> packaging options available to</w:t>
      </w:r>
      <w:r w:rsidR="009B7D52">
        <w:t xml:space="preserve"> </w:t>
      </w:r>
      <w:r>
        <w:t xml:space="preserve">community legal centres </w:t>
      </w:r>
      <w:r w:rsidR="009B7D52">
        <w:t>(</w:t>
      </w:r>
      <w:r w:rsidR="009B7D52" w:rsidRPr="009B7D52">
        <w:rPr>
          <w:b/>
          <w:i/>
        </w:rPr>
        <w:t>Community Legal Centres</w:t>
      </w:r>
      <w:r w:rsidR="009B7D52">
        <w:t xml:space="preserve">) </w:t>
      </w:r>
      <w:r w:rsidR="005649F7">
        <w:t xml:space="preserve">that have employees </w:t>
      </w:r>
      <w:r>
        <w:t xml:space="preserve">in </w:t>
      </w:r>
      <w:r w:rsidR="00373728">
        <w:t>Australia</w:t>
      </w:r>
      <w:r w:rsidR="0076095C">
        <w:t>, particularly those that are public benevolent institutions</w:t>
      </w:r>
      <w:r w:rsidR="005649F7">
        <w:t xml:space="preserve">. </w:t>
      </w:r>
    </w:p>
    <w:p w:rsidR="005649F7" w:rsidRDefault="005649F7" w:rsidP="00990313">
      <w:pPr>
        <w:ind w:left="709"/>
      </w:pPr>
      <w:r>
        <w:t xml:space="preserve">In addition to the rules imposing income tax on salary and wages that employers pay employees, whenever </w:t>
      </w:r>
      <w:r w:rsidR="00127D1B">
        <w:t>an employer and employee</w:t>
      </w:r>
      <w:r>
        <w:t xml:space="preserve"> negoti</w:t>
      </w:r>
      <w:r w:rsidR="00D22150">
        <w:t>ate a salary package, they must</w:t>
      </w:r>
      <w:r>
        <w:t xml:space="preserve"> </w:t>
      </w:r>
      <w:r w:rsidR="00BB6BF3">
        <w:t>consider</w:t>
      </w:r>
      <w:r>
        <w:t xml:space="preserve"> the</w:t>
      </w:r>
      <w:r w:rsidR="00F41461">
        <w:t xml:space="preserve"> </w:t>
      </w:r>
      <w:r w:rsidR="00D22150">
        <w:t>rules that tax</w:t>
      </w:r>
      <w:r w:rsidR="003D16CC">
        <w:t xml:space="preserve"> </w:t>
      </w:r>
      <w:r>
        <w:t>other types of</w:t>
      </w:r>
      <w:r w:rsidR="003D16CC" w:rsidRPr="003D16CC">
        <w:t xml:space="preserve"> benefits </w:t>
      </w:r>
      <w:r w:rsidR="003D16CC">
        <w:t>that employers provide to their employees</w:t>
      </w:r>
      <w:r>
        <w:t>.</w:t>
      </w:r>
      <w:r w:rsidR="00127D1B">
        <w:t xml:space="preserve"> In particular, </w:t>
      </w:r>
      <w:r w:rsidR="00D22150">
        <w:t xml:space="preserve">in Australia </w:t>
      </w:r>
      <w:r w:rsidR="00127D1B">
        <w:t xml:space="preserve">an employer must pay fringe benefits tax </w:t>
      </w:r>
      <w:r w:rsidR="006071A8">
        <w:t>(</w:t>
      </w:r>
      <w:r w:rsidR="006071A8" w:rsidRPr="006071A8">
        <w:rPr>
          <w:b/>
          <w:i/>
        </w:rPr>
        <w:t>FBT</w:t>
      </w:r>
      <w:r w:rsidR="006071A8">
        <w:t xml:space="preserve">) </w:t>
      </w:r>
      <w:r w:rsidR="00127D1B">
        <w:t xml:space="preserve">on certain specified benefits provided to an employee in respect of their employment. </w:t>
      </w:r>
    </w:p>
    <w:p w:rsidR="00D22150" w:rsidRDefault="00B30239" w:rsidP="00990313">
      <w:pPr>
        <w:pStyle w:val="NormalIndent"/>
      </w:pPr>
      <w:r>
        <w:t>However, t</w:t>
      </w:r>
      <w:r w:rsidR="00127D1B">
        <w:t xml:space="preserve">here are various </w:t>
      </w:r>
      <w:r w:rsidR="0071265D">
        <w:t xml:space="preserve">exemptions and concessions available to </w:t>
      </w:r>
      <w:r w:rsidR="003D16CC">
        <w:t xml:space="preserve">all </w:t>
      </w:r>
      <w:r w:rsidR="0071265D">
        <w:t>employers</w:t>
      </w:r>
      <w:r w:rsidR="00127D1B">
        <w:t xml:space="preserve"> depending upon the type of fringe benefits provided. </w:t>
      </w:r>
      <w:r w:rsidR="00447CF0">
        <w:t>There</w:t>
      </w:r>
      <w:r w:rsidR="0071265D">
        <w:t xml:space="preserve"> are </w:t>
      </w:r>
      <w:r w:rsidR="00447CF0">
        <w:t xml:space="preserve">also </w:t>
      </w:r>
      <w:r w:rsidR="0071265D">
        <w:t>additional benefits available to charitable institutions</w:t>
      </w:r>
      <w:r w:rsidR="00127D1B">
        <w:t xml:space="preserve"> that are exempt from income tax</w:t>
      </w:r>
      <w:r w:rsidR="00447CF0">
        <w:t xml:space="preserve">. </w:t>
      </w:r>
      <w:r>
        <w:t xml:space="preserve">Most importantly though, </w:t>
      </w:r>
      <w:r w:rsidR="00127D1B">
        <w:t>e</w:t>
      </w:r>
      <w:r w:rsidR="00127D1B" w:rsidRPr="00127D1B">
        <w:t xml:space="preserve">ven more concessional </w:t>
      </w:r>
      <w:r w:rsidR="006071A8">
        <w:t>FBT trea</w:t>
      </w:r>
      <w:r w:rsidR="00127D1B">
        <w:t>tment</w:t>
      </w:r>
      <w:r w:rsidR="00CF2542">
        <w:t xml:space="preserve"> </w:t>
      </w:r>
      <w:r>
        <w:t xml:space="preserve">is available </w:t>
      </w:r>
      <w:r w:rsidR="00447CF0">
        <w:t>for</w:t>
      </w:r>
      <w:r w:rsidR="00BB6BF3">
        <w:t xml:space="preserve"> </w:t>
      </w:r>
      <w:r>
        <w:t xml:space="preserve">certain </w:t>
      </w:r>
      <w:r w:rsidR="00BB6BF3">
        <w:t xml:space="preserve">fringe benefits </w:t>
      </w:r>
      <w:r w:rsidR="006824B0">
        <w:t>provided to an employee where the Community Legal C</w:t>
      </w:r>
      <w:r w:rsidRPr="00B30239">
        <w:t>entre that</w:t>
      </w:r>
      <w:r w:rsidR="006824B0">
        <w:t xml:space="preserve"> employs the employee </w:t>
      </w:r>
      <w:r w:rsidR="00E83B02">
        <w:t>is a</w:t>
      </w:r>
      <w:r w:rsidRPr="00B30239">
        <w:t xml:space="preserve"> p</w:t>
      </w:r>
      <w:r>
        <w:t xml:space="preserve">ublic benevolent institution </w:t>
      </w:r>
      <w:r w:rsidR="006824B0">
        <w:t>(</w:t>
      </w:r>
      <w:r w:rsidR="0030368F" w:rsidRPr="0030368F">
        <w:rPr>
          <w:b/>
          <w:i/>
        </w:rPr>
        <w:t>PBI</w:t>
      </w:r>
      <w:r w:rsidR="003932C8">
        <w:t>)</w:t>
      </w:r>
      <w:r w:rsidR="0071265D">
        <w:t>.</w:t>
      </w:r>
    </w:p>
    <w:p w:rsidR="00D22150" w:rsidRDefault="0071265D" w:rsidP="00990313">
      <w:pPr>
        <w:pStyle w:val="NormalIndent"/>
      </w:pPr>
      <w:r>
        <w:t>The first part of this bo</w:t>
      </w:r>
      <w:r w:rsidR="003D16CC">
        <w:t xml:space="preserve">oklet </w:t>
      </w:r>
      <w:r w:rsidR="00DC1DD9">
        <w:t xml:space="preserve">summaries </w:t>
      </w:r>
      <w:r w:rsidR="003D16CC">
        <w:t xml:space="preserve">how </w:t>
      </w:r>
      <w:r w:rsidR="00DC1DD9">
        <w:t xml:space="preserve">the </w:t>
      </w:r>
      <w:r w:rsidR="006824B0">
        <w:t>FBT</w:t>
      </w:r>
      <w:r>
        <w:t xml:space="preserve"> </w:t>
      </w:r>
      <w:r w:rsidR="00DC1DD9">
        <w:t>rules operate</w:t>
      </w:r>
      <w:r w:rsidR="00CF2542">
        <w:t xml:space="preserve"> in Australia</w:t>
      </w:r>
      <w:r w:rsidR="00DC1DD9">
        <w:t>. This includes</w:t>
      </w:r>
      <w:r>
        <w:t xml:space="preserve"> explaining how the various exemptions and concessions can </w:t>
      </w:r>
      <w:r w:rsidR="003D16CC">
        <w:t xml:space="preserve">benefit </w:t>
      </w:r>
      <w:r w:rsidR="006824B0">
        <w:t>Community L</w:t>
      </w:r>
      <w:r>
        <w:t>egal</w:t>
      </w:r>
      <w:r w:rsidR="006824B0">
        <w:t xml:space="preserve"> C</w:t>
      </w:r>
      <w:r w:rsidR="00CF2542">
        <w:t>entres</w:t>
      </w:r>
      <w:r>
        <w:t xml:space="preserve"> </w:t>
      </w:r>
      <w:r w:rsidR="00DC1DD9">
        <w:t>where</w:t>
      </w:r>
      <w:r>
        <w:t xml:space="preserve"> the </w:t>
      </w:r>
      <w:r w:rsidR="00B12D21">
        <w:t>remuneration</w:t>
      </w:r>
      <w:r>
        <w:t xml:space="preserve"> </w:t>
      </w:r>
      <w:r w:rsidR="00B12D21">
        <w:t>provide</w:t>
      </w:r>
      <w:r w:rsidR="00DC1DD9">
        <w:t>d</w:t>
      </w:r>
      <w:r w:rsidR="00B12D21">
        <w:t xml:space="preserve"> to </w:t>
      </w:r>
      <w:r>
        <w:t>employees</w:t>
      </w:r>
      <w:r w:rsidR="00B12D21">
        <w:t xml:space="preserve"> </w:t>
      </w:r>
      <w:r w:rsidR="00DC1DD9">
        <w:t>is packaged</w:t>
      </w:r>
      <w:r w:rsidR="00BB6BF3">
        <w:t xml:space="preserve">. Broadly, the idea of 'packaging' remuneration means that, </w:t>
      </w:r>
      <w:r w:rsidR="00DC1DD9">
        <w:t xml:space="preserve">instead of being comprised solely of </w:t>
      </w:r>
      <w:r w:rsidR="00B12D21">
        <w:t>salary or wages</w:t>
      </w:r>
      <w:r w:rsidR="00DC1DD9">
        <w:t>,</w:t>
      </w:r>
      <w:r w:rsidR="00B12D21">
        <w:t xml:space="preserve"> </w:t>
      </w:r>
      <w:r w:rsidR="00BB6BF3">
        <w:t xml:space="preserve">the remuneration that </w:t>
      </w:r>
      <w:r w:rsidR="006824B0">
        <w:t>the employer</w:t>
      </w:r>
      <w:r w:rsidR="00D22150">
        <w:t xml:space="preserve"> provide</w:t>
      </w:r>
      <w:r w:rsidR="006824B0">
        <w:t>s the</w:t>
      </w:r>
      <w:r w:rsidR="00D22150">
        <w:t xml:space="preserve"> </w:t>
      </w:r>
      <w:r w:rsidR="006824B0">
        <w:t>employee</w:t>
      </w:r>
      <w:r w:rsidR="00DC1DD9">
        <w:t xml:space="preserve"> </w:t>
      </w:r>
      <w:r w:rsidR="00BB6BF3">
        <w:t>will include</w:t>
      </w:r>
      <w:r w:rsidR="00DC1DD9">
        <w:t xml:space="preserve"> certain types of fringe </w:t>
      </w:r>
      <w:r w:rsidR="00B12D21">
        <w:t>benefits</w:t>
      </w:r>
      <w:r w:rsidR="00BB6BF3">
        <w:t xml:space="preserve"> (usually in a non-monetary form)</w:t>
      </w:r>
      <w:r w:rsidR="00990313">
        <w:t>.</w:t>
      </w:r>
    </w:p>
    <w:p w:rsidR="0071265D" w:rsidRDefault="0071265D" w:rsidP="00FE3DF7">
      <w:pPr>
        <w:pStyle w:val="NormalIndent"/>
      </w:pPr>
      <w:r>
        <w:t>The second</w:t>
      </w:r>
      <w:r w:rsidR="00B12D21">
        <w:t xml:space="preserve"> part of the booklet contains </w:t>
      </w:r>
      <w:r>
        <w:t>sample calculation</w:t>
      </w:r>
      <w:r w:rsidR="00B12D21">
        <w:t>s</w:t>
      </w:r>
      <w:r>
        <w:t xml:space="preserve"> to illustrate the benefits of salary</w:t>
      </w:r>
      <w:r w:rsidR="00B12D21">
        <w:t xml:space="preserve"> packaging having regard to these </w:t>
      </w:r>
      <w:r w:rsidR="006824B0">
        <w:t>FBT</w:t>
      </w:r>
      <w:r w:rsidR="00DC42CD">
        <w:t xml:space="preserve"> </w:t>
      </w:r>
      <w:r w:rsidR="00B12D21">
        <w:t>concessions and exemptions.</w:t>
      </w:r>
      <w:r>
        <w:t xml:space="preserve"> The </w:t>
      </w:r>
      <w:r w:rsidR="00B12D21">
        <w:t xml:space="preserve">third </w:t>
      </w:r>
      <w:r>
        <w:t xml:space="preserve">part of the booklet is a broadsheet </w:t>
      </w:r>
      <w:r w:rsidR="00B12D21">
        <w:t>that summarises</w:t>
      </w:r>
      <w:r>
        <w:t xml:space="preserve"> </w:t>
      </w:r>
      <w:r w:rsidR="00E926E3">
        <w:t xml:space="preserve">the </w:t>
      </w:r>
      <w:r w:rsidR="006824B0">
        <w:t>FBT</w:t>
      </w:r>
      <w:r w:rsidR="00B12D21">
        <w:t xml:space="preserve"> </w:t>
      </w:r>
      <w:r w:rsidR="006824B0">
        <w:t>concessions and exemptions</w:t>
      </w:r>
      <w:r w:rsidR="00B12D21">
        <w:t xml:space="preserve"> and outlines</w:t>
      </w:r>
      <w:r w:rsidR="00D76E9C">
        <w:t xml:space="preserve"> to employees</w:t>
      </w:r>
      <w:r w:rsidR="00B12D21">
        <w:t xml:space="preserve"> the advantages </w:t>
      </w:r>
      <w:r w:rsidR="00DC1DD9">
        <w:t xml:space="preserve">of salary packaging. This broadsheet is in a form that can be </w:t>
      </w:r>
      <w:r>
        <w:t xml:space="preserve">distributed to employees of </w:t>
      </w:r>
      <w:r w:rsidR="006824B0">
        <w:t>Community Legal C</w:t>
      </w:r>
      <w:r>
        <w:t>entres</w:t>
      </w:r>
      <w:r w:rsidR="00DC1DD9">
        <w:t xml:space="preserve"> to </w:t>
      </w:r>
      <w:r w:rsidR="00B30239">
        <w:t xml:space="preserve">help them </w:t>
      </w:r>
      <w:r w:rsidR="00DC1DD9">
        <w:t xml:space="preserve">understand the </w:t>
      </w:r>
      <w:r w:rsidR="008041E7">
        <w:t>salary packaging op</w:t>
      </w:r>
      <w:r w:rsidR="00B30239">
        <w:t>tions that are available</w:t>
      </w:r>
      <w:r>
        <w:t>.</w:t>
      </w:r>
    </w:p>
    <w:p w:rsidR="0071265D" w:rsidRPr="00EC5653" w:rsidRDefault="00DC42CD" w:rsidP="00955FF7">
      <w:pPr>
        <w:ind w:left="709"/>
        <w:rPr>
          <w:b/>
          <w:color w:val="0070C0"/>
        </w:rPr>
      </w:pPr>
      <w:r w:rsidRPr="00EC5653">
        <w:rPr>
          <w:b/>
          <w:color w:val="0070C0"/>
        </w:rPr>
        <w:t xml:space="preserve">REMEMBER – </w:t>
      </w:r>
      <w:r w:rsidR="00955FF7" w:rsidRPr="00EC5653">
        <w:rPr>
          <w:b/>
          <w:color w:val="0070C0"/>
        </w:rPr>
        <w:t xml:space="preserve">an </w:t>
      </w:r>
      <w:r w:rsidRPr="00EC5653">
        <w:rPr>
          <w:b/>
          <w:color w:val="0070C0"/>
        </w:rPr>
        <w:t xml:space="preserve">employee of </w:t>
      </w:r>
      <w:r w:rsidR="00955FF7" w:rsidRPr="00EC5653">
        <w:rPr>
          <w:b/>
          <w:color w:val="0070C0"/>
        </w:rPr>
        <w:t xml:space="preserve">a </w:t>
      </w:r>
      <w:r w:rsidR="003932C8">
        <w:rPr>
          <w:b/>
          <w:color w:val="0070C0"/>
        </w:rPr>
        <w:t>C</w:t>
      </w:r>
      <w:r w:rsidRPr="00EC5653">
        <w:rPr>
          <w:b/>
          <w:color w:val="0070C0"/>
        </w:rPr>
        <w:t xml:space="preserve">ommunity </w:t>
      </w:r>
      <w:r w:rsidR="003932C8">
        <w:rPr>
          <w:b/>
          <w:color w:val="0070C0"/>
        </w:rPr>
        <w:t>Legal C</w:t>
      </w:r>
      <w:r w:rsidRPr="00EC5653">
        <w:rPr>
          <w:b/>
          <w:color w:val="0070C0"/>
        </w:rPr>
        <w:t>entre can benefit significantly if they agree with their employer to package the</w:t>
      </w:r>
      <w:r w:rsidR="00955FF7" w:rsidRPr="00EC5653">
        <w:rPr>
          <w:b/>
          <w:color w:val="0070C0"/>
        </w:rPr>
        <w:t xml:space="preserve"> employee's</w:t>
      </w:r>
      <w:r w:rsidRPr="00EC5653">
        <w:rPr>
          <w:b/>
          <w:color w:val="0070C0"/>
        </w:rPr>
        <w:t xml:space="preserve"> remuneration by replacing </w:t>
      </w:r>
      <w:r w:rsidR="00955FF7" w:rsidRPr="00EC5653">
        <w:rPr>
          <w:b/>
          <w:color w:val="0070C0"/>
        </w:rPr>
        <w:t xml:space="preserve">some </w:t>
      </w:r>
      <w:r w:rsidRPr="00EC5653">
        <w:rPr>
          <w:b/>
          <w:color w:val="0070C0"/>
        </w:rPr>
        <w:t>salary and wages with certain types of fringe benefits</w:t>
      </w:r>
      <w:r w:rsidR="00990313" w:rsidRPr="00EC5653">
        <w:rPr>
          <w:b/>
          <w:color w:val="0070C0"/>
        </w:rPr>
        <w:t>.</w:t>
      </w:r>
    </w:p>
    <w:p w:rsidR="00EC5653" w:rsidRDefault="00EC5653" w:rsidP="00EC5653">
      <w:pPr>
        <w:sectPr w:rsidR="00EC5653" w:rsidSect="00990313">
          <w:headerReference w:type="first" r:id="rId13"/>
          <w:pgSz w:w="11907" w:h="16839" w:code="9"/>
          <w:pgMar w:top="1701" w:right="1134" w:bottom="1134" w:left="1417" w:header="567" w:footer="567" w:gutter="0"/>
          <w:cols w:space="720"/>
          <w:titlePg/>
          <w:docGrid w:linePitch="272"/>
        </w:sectPr>
      </w:pPr>
    </w:p>
    <w:p w:rsidR="0071265D" w:rsidRPr="00955FF7" w:rsidRDefault="0071265D" w:rsidP="00990313">
      <w:pPr>
        <w:pStyle w:val="AllensHeading1"/>
      </w:pPr>
      <w:bookmarkStart w:id="8" w:name="_Toc377664366"/>
      <w:bookmarkStart w:id="9" w:name="_Toc437947565"/>
      <w:r w:rsidRPr="00955FF7">
        <w:lastRenderedPageBreak/>
        <w:t>Fringe Benefits Tax</w:t>
      </w:r>
      <w:bookmarkEnd w:id="8"/>
      <w:bookmarkEnd w:id="9"/>
    </w:p>
    <w:p w:rsidR="007305AB" w:rsidRPr="00736AC2" w:rsidRDefault="005716D5" w:rsidP="00990313">
      <w:pPr>
        <w:pStyle w:val="AllensHeading2"/>
      </w:pPr>
      <w:bookmarkStart w:id="10" w:name="_Ref411950231"/>
      <w:bookmarkStart w:id="11" w:name="_Toc437947566"/>
      <w:r w:rsidRPr="00736AC2">
        <w:t>Benefit provided by employer to employee</w:t>
      </w:r>
      <w:bookmarkEnd w:id="10"/>
      <w:bookmarkEnd w:id="11"/>
    </w:p>
    <w:p w:rsidR="007305AB" w:rsidRDefault="005F6067" w:rsidP="005F6067">
      <w:pPr>
        <w:pStyle w:val="NormalIndent"/>
      </w:pPr>
      <w:r>
        <w:t xml:space="preserve">An employer must pay </w:t>
      </w:r>
      <w:r w:rsidR="00901C9A">
        <w:t>FBT</w:t>
      </w:r>
      <w:r>
        <w:t xml:space="preserve"> on the value of certain benefits that the employer (or an associate) provides to </w:t>
      </w:r>
      <w:r w:rsidR="00955FF7">
        <w:t>an</w:t>
      </w:r>
      <w:r w:rsidR="007305AB">
        <w:t xml:space="preserve"> </w:t>
      </w:r>
      <w:r>
        <w:t xml:space="preserve">employee </w:t>
      </w:r>
      <w:r w:rsidR="007305AB">
        <w:t>(</w:t>
      </w:r>
      <w:r>
        <w:t xml:space="preserve">or </w:t>
      </w:r>
      <w:r w:rsidR="007305AB">
        <w:t>to</w:t>
      </w:r>
      <w:r>
        <w:t xml:space="preserve"> </w:t>
      </w:r>
      <w:r w:rsidR="00955FF7">
        <w:t xml:space="preserve">an </w:t>
      </w:r>
      <w:r>
        <w:t>associate of th</w:t>
      </w:r>
      <w:r w:rsidR="00955FF7">
        <w:t>at employee)</w:t>
      </w:r>
      <w:r>
        <w:t xml:space="preserve"> i</w:t>
      </w:r>
      <w:r w:rsidR="007305AB">
        <w:t>n respect of their employment. This means that</w:t>
      </w:r>
      <w:r w:rsidR="00EB229A">
        <w:t xml:space="preserve">, </w:t>
      </w:r>
      <w:r w:rsidR="00EB229A" w:rsidRPr="00EB229A">
        <w:t>subject to any relevant exemption or concession that might be available</w:t>
      </w:r>
      <w:r w:rsidR="00EB229A">
        <w:t xml:space="preserve">, an </w:t>
      </w:r>
      <w:r w:rsidR="00EB229A" w:rsidRPr="00EB229A">
        <w:t xml:space="preserve">employer will be liable to pay </w:t>
      </w:r>
      <w:r w:rsidR="00901C9A">
        <w:t>FBT</w:t>
      </w:r>
      <w:r w:rsidR="00EB229A">
        <w:t xml:space="preserve"> in relation to benefits provided in respect of an employee's employment regardless of whether that benefit is</w:t>
      </w:r>
      <w:r w:rsidR="007305AB" w:rsidRPr="007305AB">
        <w:t xml:space="preserve"> provided</w:t>
      </w:r>
      <w:r w:rsidR="007305AB">
        <w:t>:</w:t>
      </w:r>
    </w:p>
    <w:p w:rsidR="007305AB" w:rsidRDefault="005F6067" w:rsidP="00990313">
      <w:pPr>
        <w:pStyle w:val="Bullet2"/>
      </w:pPr>
      <w:r>
        <w:t>by the employer, an associate of the employer or under an arrangement that the em</w:t>
      </w:r>
      <w:r w:rsidR="007305AB">
        <w:t xml:space="preserve">ployer has with </w:t>
      </w:r>
      <w:r w:rsidR="00955FF7">
        <w:t>a</w:t>
      </w:r>
      <w:r w:rsidR="007305AB">
        <w:t xml:space="preserve"> third party; or  </w:t>
      </w:r>
    </w:p>
    <w:p w:rsidR="007305AB" w:rsidRDefault="007305AB" w:rsidP="00990313">
      <w:pPr>
        <w:pStyle w:val="Bullet2"/>
      </w:pPr>
      <w:r>
        <w:t>to the employee or an associate</w:t>
      </w:r>
      <w:r w:rsidR="00955FF7">
        <w:t xml:space="preserve"> of that employee</w:t>
      </w:r>
      <w:r>
        <w:t>.</w:t>
      </w:r>
    </w:p>
    <w:p w:rsidR="00432ECF" w:rsidRDefault="003E22DA" w:rsidP="005F6067">
      <w:pPr>
        <w:pStyle w:val="NormalIndent"/>
      </w:pPr>
      <w:r>
        <w:t xml:space="preserve">An 'associate' for FBT purposes is defined broadly and </w:t>
      </w:r>
      <w:r w:rsidR="00153DE4" w:rsidRPr="00901C9A">
        <w:t>can include natural persons, companies , partnerships and trustees</w:t>
      </w:r>
      <w:r w:rsidR="00153DE4">
        <w:t xml:space="preserve"> that are connected, related or associated with the relevant employer or employee</w:t>
      </w:r>
      <w:r>
        <w:t xml:space="preserve">. </w:t>
      </w:r>
      <w:r w:rsidR="00153DE4">
        <w:t>For instance, an associate of an employee include</w:t>
      </w:r>
      <w:r w:rsidR="007C1F28">
        <w:t>s (amongst other things)</w:t>
      </w:r>
      <w:r w:rsidR="00153DE4">
        <w:t xml:space="preserve"> the</w:t>
      </w:r>
      <w:r w:rsidR="007C1F28">
        <w:t xml:space="preserve"> employee's</w:t>
      </w:r>
      <w:r w:rsidR="00153DE4">
        <w:t xml:space="preserve"> spouse (married, de facto or same sex)</w:t>
      </w:r>
      <w:r w:rsidR="007A60D9">
        <w:t>, children, parents</w:t>
      </w:r>
      <w:r w:rsidR="00153DE4">
        <w:t xml:space="preserve"> </w:t>
      </w:r>
      <w:r w:rsidR="007A60D9">
        <w:t>and</w:t>
      </w:r>
      <w:r w:rsidR="00695950">
        <w:t xml:space="preserve"> a company in which the employee has a 'majority voting interest'</w:t>
      </w:r>
      <w:r w:rsidR="00285EDC">
        <w:rPr>
          <w:rStyle w:val="FootnoteReference"/>
        </w:rPr>
        <w:footnoteReference w:id="1"/>
      </w:r>
      <w:r w:rsidR="00695950">
        <w:t xml:space="preserve"> or that is 'sufficiently influenced'</w:t>
      </w:r>
      <w:r w:rsidR="00285EDC">
        <w:rPr>
          <w:rStyle w:val="FootnoteReference"/>
        </w:rPr>
        <w:footnoteReference w:id="2"/>
      </w:r>
      <w:r w:rsidR="00695950">
        <w:t xml:space="preserve"> by the employee, a trustee of a trust in respect of which the employee benefits</w:t>
      </w:r>
      <w:r w:rsidR="007C1F28">
        <w:t xml:space="preserve"> and a partner in a partnership of which the employee is a partner</w:t>
      </w:r>
      <w:r w:rsidR="00153DE4">
        <w:t>.</w:t>
      </w:r>
      <w:r w:rsidR="007C1F28">
        <w:t xml:space="preserve"> </w:t>
      </w:r>
    </w:p>
    <w:p w:rsidR="003E22DA" w:rsidRDefault="007C1F28" w:rsidP="005F6067">
      <w:pPr>
        <w:pStyle w:val="NormalIndent"/>
      </w:pPr>
      <w:r>
        <w:t xml:space="preserve">Before an employer (or the employer's associate) provides a benefit to an entity other than an employee, close regard must be paid to the associate definition to determine whether </w:t>
      </w:r>
      <w:r w:rsidR="00901C9A">
        <w:t>FBT</w:t>
      </w:r>
      <w:r w:rsidR="00676426">
        <w:t xml:space="preserve"> </w:t>
      </w:r>
      <w:r>
        <w:t xml:space="preserve">must </w:t>
      </w:r>
      <w:r w:rsidR="00E83B02">
        <w:t xml:space="preserve">still </w:t>
      </w:r>
      <w:r>
        <w:t xml:space="preserve">be paid </w:t>
      </w:r>
      <w:r w:rsidR="007A60D9">
        <w:t>(</w:t>
      </w:r>
      <w:r>
        <w:t>because th</w:t>
      </w:r>
      <w:r w:rsidR="00955FF7">
        <w:t>e relevant</w:t>
      </w:r>
      <w:r>
        <w:t xml:space="preserve"> entity is an associate of the employee in respect of whom </w:t>
      </w:r>
      <w:r w:rsidR="007A60D9">
        <w:t>the benefit has been provided).</w:t>
      </w:r>
      <w:r w:rsidR="00432ECF">
        <w:t xml:space="preserve"> Certain FBT exemptions and concessions are also only available where the employee (rather than an associate) receives the benefit. </w:t>
      </w:r>
    </w:p>
    <w:p w:rsidR="00EC5653" w:rsidRDefault="00432ECF" w:rsidP="005F6067">
      <w:pPr>
        <w:pStyle w:val="NormalIndent"/>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REMEMBER – an employer can be liable to pay fringe benefits tax in respect of certain benefits that the employer provides to an employe</w:t>
      </w:r>
      <w:r w:rsidR="00990313" w:rsidRPr="00EC5653">
        <w:rPr>
          <w:b/>
          <w:color w:val="0070C0"/>
        </w:rPr>
        <w:t>e other than as salary or wages.</w:t>
      </w:r>
    </w:p>
    <w:p w:rsidR="003E22DA" w:rsidRPr="00736AC2" w:rsidRDefault="00C7583E" w:rsidP="00990313">
      <w:pPr>
        <w:pStyle w:val="AllensHeading2"/>
      </w:pPr>
      <w:bookmarkStart w:id="12" w:name="_Toc437947567"/>
      <w:r w:rsidRPr="00736AC2">
        <w:lastRenderedPageBreak/>
        <w:t>Benefit provided in respect of employment</w:t>
      </w:r>
      <w:bookmarkEnd w:id="12"/>
    </w:p>
    <w:p w:rsidR="00C7583E" w:rsidRDefault="007A60D9" w:rsidP="005F6067">
      <w:pPr>
        <w:pStyle w:val="NormalIndent"/>
      </w:pPr>
      <w:r>
        <w:t>It is important to remember that the</w:t>
      </w:r>
      <w:r w:rsidR="00FA3C71">
        <w:t xml:space="preserve"> benefit must be provided 'in respect of employment'</w:t>
      </w:r>
      <w:r>
        <w:t xml:space="preserve"> before an employer can be </w:t>
      </w:r>
      <w:r w:rsidR="004F18DB">
        <w:t>liable to pay FBT</w:t>
      </w:r>
      <w:r w:rsidR="00FA3C71">
        <w:t xml:space="preserve">. </w:t>
      </w:r>
      <w:r>
        <w:t>It is not enough merely for there to be an employer and</w:t>
      </w:r>
      <w:r w:rsidR="00FA3C71">
        <w:t xml:space="preserve"> employee relationship </w:t>
      </w:r>
      <w:r>
        <w:t xml:space="preserve">as </w:t>
      </w:r>
      <w:r w:rsidR="00FA3C71">
        <w:t xml:space="preserve">the benefit </w:t>
      </w:r>
      <w:r>
        <w:t>must also be</w:t>
      </w:r>
      <w:r w:rsidR="00FA3C71">
        <w:t xml:space="preserve"> provided, directly or indirectly, in relation to or by reason of this employment relationship.</w:t>
      </w:r>
      <w:r w:rsidR="004F18DB">
        <w:t xml:space="preserve"> If this connection does not exist, the employer cannot be liable to pay FBT</w:t>
      </w:r>
      <w:r w:rsidR="00990313" w:rsidRPr="00990313">
        <w:t xml:space="preserve">. </w:t>
      </w:r>
    </w:p>
    <w:p w:rsidR="00FA3C71" w:rsidRDefault="004F18DB" w:rsidP="005F6067">
      <w:pPr>
        <w:pStyle w:val="NormalIndent"/>
      </w:pPr>
      <w:r>
        <w:t>For example</w:t>
      </w:r>
      <w:r w:rsidR="00FA3C71">
        <w:t xml:space="preserve">, a benefit provided to a volunteer </w:t>
      </w:r>
      <w:r w:rsidR="007D42D3">
        <w:t>(ie, an entity that provides</w:t>
      </w:r>
      <w:r w:rsidR="005716D5">
        <w:t xml:space="preserve"> to another</w:t>
      </w:r>
      <w:r w:rsidR="007D42D3">
        <w:t xml:space="preserve"> services of their own free will</w:t>
      </w:r>
      <w:r w:rsidR="005716D5">
        <w:t xml:space="preserve"> and not because of any contractual obligation to do so</w:t>
      </w:r>
      <w:r w:rsidR="007D42D3">
        <w:t xml:space="preserve">) </w:t>
      </w:r>
      <w:r w:rsidR="00FA3C71">
        <w:t xml:space="preserve">should not be subject to </w:t>
      </w:r>
      <w:r>
        <w:t>FBT.</w:t>
      </w:r>
      <w:r w:rsidR="00FA3C71">
        <w:t xml:space="preserve"> </w:t>
      </w:r>
      <w:r>
        <w:t>This is because</w:t>
      </w:r>
      <w:r w:rsidR="00FA3C71">
        <w:t xml:space="preserve"> </w:t>
      </w:r>
      <w:r>
        <w:t xml:space="preserve">of </w:t>
      </w:r>
      <w:r w:rsidR="00FA3C71">
        <w:t>the absence of any employment relationship</w:t>
      </w:r>
      <w:r>
        <w:t xml:space="preserve"> in respect of which the benefit has been provided</w:t>
      </w:r>
      <w:r w:rsidR="00FA3C71">
        <w:t>.</w:t>
      </w:r>
      <w:r w:rsidR="0032386E">
        <w:t xml:space="preserve"> </w:t>
      </w:r>
      <w:r>
        <w:t>However, a</w:t>
      </w:r>
      <w:r w:rsidR="0032386E">
        <w:t xml:space="preserve">n employer should expect the </w:t>
      </w:r>
      <w:r w:rsidR="00654C8E">
        <w:t xml:space="preserve">Commissioner of Taxation </w:t>
      </w:r>
      <w:r w:rsidR="0032386E">
        <w:t>to examine closely the basis upon which th</w:t>
      </w:r>
      <w:r>
        <w:t>at</w:t>
      </w:r>
      <w:r w:rsidR="0032386E">
        <w:t xml:space="preserve"> employer determines it has no liability </w:t>
      </w:r>
      <w:r>
        <w:t>to pay FBT. Appropriate records should be retained to help prove that</w:t>
      </w:r>
      <w:r w:rsidR="0032386E">
        <w:t xml:space="preserve"> a benefit</w:t>
      </w:r>
      <w:r>
        <w:t xml:space="preserve"> has been</w:t>
      </w:r>
      <w:r w:rsidR="007A60D9">
        <w:t xml:space="preserve"> provided</w:t>
      </w:r>
      <w:r w:rsidR="0032386E">
        <w:t xml:space="preserve"> to a true volunteer worker rather than an employee</w:t>
      </w:r>
      <w:r w:rsidR="00990313" w:rsidRPr="00990313">
        <w:t xml:space="preserve">. </w:t>
      </w:r>
      <w:r w:rsidR="00FA3C71">
        <w:t xml:space="preserve">  </w:t>
      </w:r>
    </w:p>
    <w:p w:rsidR="00C7583E" w:rsidRDefault="004F18DB" w:rsidP="00C7583E">
      <w:pPr>
        <w:pStyle w:val="NormalIndent"/>
      </w:pPr>
      <w:r>
        <w:t>Finally, i</w:t>
      </w:r>
      <w:r w:rsidR="00C7583E">
        <w:t>t does not matter that the employer may itself be exempt from income tax</w:t>
      </w:r>
      <w:r>
        <w:t xml:space="preserve">. A tax-exempt </w:t>
      </w:r>
      <w:r w:rsidR="00C7583E">
        <w:t>employer can still be liable to pay FBT</w:t>
      </w:r>
      <w:r>
        <w:t xml:space="preserve"> in respect of benefits it provides to employees</w:t>
      </w:r>
      <w:r w:rsidR="00C7583E">
        <w:t xml:space="preserve">. However, </w:t>
      </w:r>
      <w:r>
        <w:t xml:space="preserve">as noted </w:t>
      </w:r>
      <w:r w:rsidR="00687AB6">
        <w:t xml:space="preserve">in heading </w:t>
      </w:r>
      <w:r w:rsidR="007F1357">
        <w:fldChar w:fldCharType="begin"/>
      </w:r>
      <w:r w:rsidR="00687AB6">
        <w:instrText xml:space="preserve"> REF _Ref411753708 \r \h </w:instrText>
      </w:r>
      <w:r w:rsidR="007F1357">
        <w:fldChar w:fldCharType="separate"/>
      </w:r>
      <w:r w:rsidR="000419E4">
        <w:t>1</w:t>
      </w:r>
      <w:r w:rsidR="007F1357">
        <w:fldChar w:fldCharType="end"/>
      </w:r>
      <w:r>
        <w:t xml:space="preserve">, </w:t>
      </w:r>
      <w:r w:rsidR="00C7583E">
        <w:t>there are a variety of exemptions and concessions available to tax-exempt employers that are not available to other employers. The</w:t>
      </w:r>
      <w:r w:rsidR="00654C8E">
        <w:t xml:space="preserve"> most important concessions for </w:t>
      </w:r>
      <w:r w:rsidR="0030368F">
        <w:t xml:space="preserve">a </w:t>
      </w:r>
      <w:r w:rsidR="00654C8E">
        <w:t>Community Legal C</w:t>
      </w:r>
      <w:r w:rsidR="00C7583E">
        <w:t xml:space="preserve">entre that </w:t>
      </w:r>
      <w:r w:rsidR="0030368F">
        <w:t>is a</w:t>
      </w:r>
      <w:r w:rsidR="00C7583E">
        <w:t xml:space="preserve"> </w:t>
      </w:r>
      <w:r w:rsidR="0030368F">
        <w:t>PBI</w:t>
      </w:r>
      <w:r w:rsidR="00C7583E">
        <w:t xml:space="preserve"> </w:t>
      </w:r>
      <w:r w:rsidR="00654C8E">
        <w:t>are</w:t>
      </w:r>
      <w:r w:rsidR="00C7583E">
        <w:t xml:space="preserve"> that </w:t>
      </w:r>
      <w:r w:rsidR="0030368F">
        <w:t>it</w:t>
      </w:r>
      <w:r w:rsidR="00C7583E">
        <w:t xml:space="preserve"> can provide employees </w:t>
      </w:r>
      <w:r w:rsidR="00E83B02">
        <w:t xml:space="preserve">with </w:t>
      </w:r>
      <w:r w:rsidR="00654C8E">
        <w:t>meal entertainment and entertainment facility leasing benefits (</w:t>
      </w:r>
      <w:r w:rsidR="00A752B3">
        <w:t xml:space="preserve">currently </w:t>
      </w:r>
      <w:r w:rsidR="00654C8E">
        <w:t>unlimited in value</w:t>
      </w:r>
      <w:r w:rsidR="00A752B3">
        <w:rPr>
          <w:rStyle w:val="FootnoteReference"/>
        </w:rPr>
        <w:footnoteReference w:id="3"/>
      </w:r>
      <w:r w:rsidR="00654C8E">
        <w:t xml:space="preserve">) and other </w:t>
      </w:r>
      <w:r w:rsidR="00C7583E">
        <w:t xml:space="preserve">benefits </w:t>
      </w:r>
      <w:r w:rsidR="00E83B02">
        <w:t>having</w:t>
      </w:r>
      <w:r w:rsidR="00C7583E">
        <w:t xml:space="preserve"> a </w:t>
      </w:r>
      <w:r w:rsidR="00B51B88">
        <w:t xml:space="preserve">grossed-up </w:t>
      </w:r>
      <w:r w:rsidR="00C7583E">
        <w:t>value of up to $3</w:t>
      </w:r>
      <w:r w:rsidR="00623C7F">
        <w:t>1,177</w:t>
      </w:r>
      <w:r w:rsidR="00447CF0">
        <w:rPr>
          <w:rStyle w:val="FootnoteReference"/>
        </w:rPr>
        <w:footnoteReference w:id="4"/>
      </w:r>
      <w:r w:rsidR="00C7583E">
        <w:t xml:space="preserve"> per year free of FBT (</w:t>
      </w:r>
      <w:r w:rsidR="00C7583E" w:rsidRPr="0053638F">
        <w:rPr>
          <w:i/>
        </w:rPr>
        <w:t xml:space="preserve">see </w:t>
      </w:r>
      <w:r w:rsidR="00687AB6" w:rsidRPr="0053638F">
        <w:rPr>
          <w:i/>
        </w:rPr>
        <w:t xml:space="preserve">headings </w:t>
      </w:r>
      <w:fldSimple w:instr=" REF _Ref411753600 \r \h  \* MERGEFORMAT ">
        <w:r w:rsidR="000419E4">
          <w:rPr>
            <w:i/>
          </w:rPr>
          <w:t>2.14</w:t>
        </w:r>
      </w:fldSimple>
      <w:r w:rsidR="00687AB6" w:rsidRPr="0053638F">
        <w:rPr>
          <w:i/>
        </w:rPr>
        <w:t xml:space="preserve"> and </w:t>
      </w:r>
      <w:fldSimple w:instr=" REF _Ref411753612 \r \h  \* MERGEFORMAT ">
        <w:r w:rsidR="000419E4">
          <w:rPr>
            <w:i/>
          </w:rPr>
          <w:t>2.10</w:t>
        </w:r>
      </w:fldSimple>
      <w:r w:rsidR="00687AB6" w:rsidRPr="0053638F">
        <w:rPr>
          <w:i/>
        </w:rPr>
        <w:t xml:space="preserve"> respectively</w:t>
      </w:r>
      <w:r w:rsidR="00C7583E">
        <w:t xml:space="preserve">). </w:t>
      </w:r>
    </w:p>
    <w:p w:rsidR="00EC5653" w:rsidRDefault="005612F1" w:rsidP="005F6067">
      <w:pPr>
        <w:pStyle w:val="NormalIndent"/>
        <w:rPr>
          <w:b/>
          <w:color w:val="0070C0"/>
        </w:rPr>
        <w:sectPr w:rsidR="00EC5653" w:rsidSect="00990313">
          <w:pgSz w:w="11907" w:h="16839" w:code="9"/>
          <w:pgMar w:top="1701" w:right="1134" w:bottom="1134" w:left="1417" w:header="567" w:footer="567" w:gutter="0"/>
          <w:cols w:space="720"/>
          <w:titlePg/>
          <w:docGrid w:linePitch="272"/>
        </w:sectPr>
      </w:pPr>
      <w:r>
        <w:rPr>
          <w:b/>
          <w:color w:val="0070C0"/>
        </w:rPr>
        <w:t>REMEMBER –</w:t>
      </w:r>
      <w:r w:rsidR="00C7583E" w:rsidRPr="00EC5653">
        <w:rPr>
          <w:b/>
          <w:color w:val="0070C0"/>
        </w:rPr>
        <w:t xml:space="preserve"> </w:t>
      </w:r>
      <w:r w:rsidR="003B40CF" w:rsidRPr="00EC5653">
        <w:rPr>
          <w:b/>
          <w:color w:val="0070C0"/>
        </w:rPr>
        <w:t>FBT is not payable if a benefit has no connection with any employment relationship, such as where a gift is provided to a volunteer</w:t>
      </w:r>
      <w:r w:rsidR="00990313" w:rsidRPr="00EC5653">
        <w:rPr>
          <w:b/>
          <w:color w:val="0070C0"/>
        </w:rPr>
        <w:t>.</w:t>
      </w:r>
    </w:p>
    <w:p w:rsidR="005716D5" w:rsidRPr="00736AC2" w:rsidRDefault="005716D5" w:rsidP="00990313">
      <w:pPr>
        <w:pStyle w:val="AllensHeading2"/>
      </w:pPr>
      <w:bookmarkStart w:id="13" w:name="_Toc437947568"/>
      <w:r w:rsidRPr="00736AC2">
        <w:lastRenderedPageBreak/>
        <w:t>Taxable value of fringe benefits</w:t>
      </w:r>
      <w:bookmarkEnd w:id="13"/>
    </w:p>
    <w:p w:rsidR="00481F1F" w:rsidRDefault="006F75B8" w:rsidP="00FE3DF7">
      <w:pPr>
        <w:pStyle w:val="NormalIndent"/>
      </w:pPr>
      <w:r>
        <w:t>FBT</w:t>
      </w:r>
      <w:r w:rsidR="005716D5" w:rsidRPr="005716D5">
        <w:t xml:space="preserve"> is generally payable </w:t>
      </w:r>
      <w:r w:rsidR="00481F1F">
        <w:t xml:space="preserve">by employers </w:t>
      </w:r>
      <w:r w:rsidR="005716D5" w:rsidRPr="005716D5">
        <w:t xml:space="preserve">in 4 instalments on an annual basis. The </w:t>
      </w:r>
      <w:r>
        <w:t>FBT</w:t>
      </w:r>
      <w:r w:rsidR="005716D5" w:rsidRPr="005716D5">
        <w:t xml:space="preserve"> year runs from 1 April to 31 March. Employers are required to lodge an</w:t>
      </w:r>
      <w:r w:rsidR="00B504C7">
        <w:t xml:space="preserve"> annual</w:t>
      </w:r>
      <w:r w:rsidR="005716D5" w:rsidRPr="005716D5">
        <w:t xml:space="preserve"> FBT return and pay any FBT liability by 28 May following the end of the FBT year (or 21 May if the employer is not on a Tax Agent's Lodgement Program). </w:t>
      </w:r>
    </w:p>
    <w:p w:rsidR="005716D5" w:rsidRDefault="006F75B8" w:rsidP="00FE3DF7">
      <w:pPr>
        <w:pStyle w:val="NormalIndent"/>
      </w:pPr>
      <w:r>
        <w:t>FBT</w:t>
      </w:r>
      <w:r w:rsidR="005716D5" w:rsidRPr="005716D5">
        <w:t xml:space="preserve"> that an employe</w:t>
      </w:r>
      <w:r w:rsidR="00481F1F">
        <w:t>r</w:t>
      </w:r>
      <w:r w:rsidR="005716D5" w:rsidRPr="005716D5">
        <w:t xml:space="preserve"> must pay is calculated based upon the employer's </w:t>
      </w:r>
      <w:r w:rsidR="00481F1F">
        <w:t>'</w:t>
      </w:r>
      <w:r w:rsidR="005716D5" w:rsidRPr="005716D5">
        <w:t>fringe benefits tax</w:t>
      </w:r>
      <w:r w:rsidR="00481F1F">
        <w:t>able</w:t>
      </w:r>
      <w:r w:rsidR="005716D5" w:rsidRPr="005716D5">
        <w:t xml:space="preserve"> amount</w:t>
      </w:r>
      <w:r w:rsidR="00481F1F">
        <w:t>'</w:t>
      </w:r>
      <w:r w:rsidR="005716D5" w:rsidRPr="005716D5">
        <w:t xml:space="preserve">. This is the amount that is calculated by </w:t>
      </w:r>
      <w:r w:rsidR="00F76F3B">
        <w:t>'</w:t>
      </w:r>
      <w:r w:rsidR="005716D5" w:rsidRPr="005716D5">
        <w:t>grossing-up</w:t>
      </w:r>
      <w:r w:rsidR="00F76F3B">
        <w:t>'</w:t>
      </w:r>
      <w:r w:rsidR="005716D5" w:rsidRPr="005716D5">
        <w:t xml:space="preserve"> the taxable values of fringe benefits that the employer has provided to </w:t>
      </w:r>
      <w:r w:rsidR="006352F8">
        <w:t xml:space="preserve">all </w:t>
      </w:r>
      <w:r w:rsidR="005716D5" w:rsidRPr="005716D5">
        <w:t>its employees during the FBT year (</w:t>
      </w:r>
      <w:r w:rsidR="005716D5" w:rsidRPr="0053638F">
        <w:rPr>
          <w:i/>
        </w:rPr>
        <w:t xml:space="preserve">see </w:t>
      </w:r>
      <w:r w:rsidR="00687AB6" w:rsidRPr="0053638F">
        <w:rPr>
          <w:i/>
        </w:rPr>
        <w:t xml:space="preserve">heading </w:t>
      </w:r>
      <w:fldSimple w:instr=" REF _Ref411753810 \r \h  \* MERGEFORMAT ">
        <w:r w:rsidR="000419E4">
          <w:rPr>
            <w:i/>
          </w:rPr>
          <w:t>2.4</w:t>
        </w:r>
      </w:fldSimple>
      <w:r w:rsidR="005716D5" w:rsidRPr="005716D5">
        <w:t xml:space="preserve">). </w:t>
      </w:r>
      <w:r w:rsidR="000D70A0">
        <w:t>There are different valuation rules</w:t>
      </w:r>
      <w:r w:rsidR="002B1307">
        <w:t xml:space="preserve"> to determine the taxable values of</w:t>
      </w:r>
      <w:r w:rsidR="000D70A0">
        <w:t xml:space="preserve"> the various types of fringe benefits</w:t>
      </w:r>
      <w:r w:rsidR="0030368F">
        <w:t xml:space="preserve"> (</w:t>
      </w:r>
      <w:r w:rsidR="0030368F" w:rsidRPr="0053638F">
        <w:rPr>
          <w:i/>
        </w:rPr>
        <w:t xml:space="preserve">see heading </w:t>
      </w:r>
      <w:fldSimple w:instr=" REF _Ref411754153 \r \h  \* MERGEFORMAT ">
        <w:r w:rsidR="000419E4">
          <w:rPr>
            <w:i/>
          </w:rPr>
          <w:t>2.8</w:t>
        </w:r>
      </w:fldSimple>
      <w:r w:rsidR="0030368F">
        <w:t>)</w:t>
      </w:r>
      <w:r w:rsidR="000D70A0">
        <w:t>.</w:t>
      </w:r>
    </w:p>
    <w:p w:rsidR="007305AB" w:rsidRDefault="00FA3C71" w:rsidP="00FE3DF7">
      <w:pPr>
        <w:pStyle w:val="NormalIndent"/>
      </w:pPr>
      <w:r w:rsidRPr="00FA3C71">
        <w:t xml:space="preserve">This gross-up </w:t>
      </w:r>
      <w:r w:rsidR="00481F1F">
        <w:t xml:space="preserve">process </w:t>
      </w:r>
      <w:r w:rsidRPr="00FA3C71">
        <w:t>ensures that FBT is calculated based upon the</w:t>
      </w:r>
      <w:r w:rsidR="00904A91">
        <w:t xml:space="preserve"> value of the fringe benefits </w:t>
      </w:r>
      <w:r w:rsidRPr="00FA3C71">
        <w:t xml:space="preserve">that the employer provides inclusive of </w:t>
      </w:r>
      <w:r w:rsidR="003E49DE">
        <w:t>the employer's</w:t>
      </w:r>
      <w:r w:rsidRPr="00FA3C71">
        <w:t xml:space="preserve"> </w:t>
      </w:r>
      <w:r w:rsidR="006F75B8">
        <w:t>FBT</w:t>
      </w:r>
      <w:r w:rsidRPr="00FA3C71">
        <w:t xml:space="preserve"> liability. This is necessary because the employer can claim an income tax deduction for the cost of providing the fringe benefits and for the amount of any </w:t>
      </w:r>
      <w:r w:rsidR="006F75B8">
        <w:t>FBT</w:t>
      </w:r>
      <w:r w:rsidRPr="00FA3C71">
        <w:t xml:space="preserve"> that is incurred. This income tax deduction is available notwithstanding that the employee may not have been entitled to a deduction if it had incurred the relevant expenditure on the benefit </w:t>
      </w:r>
      <w:r w:rsidR="00904A91">
        <w:t>that</w:t>
      </w:r>
      <w:r w:rsidRPr="00FA3C71">
        <w:t xml:space="preserve"> the employer</w:t>
      </w:r>
      <w:r w:rsidR="00904A91">
        <w:t xml:space="preserve"> has provided to the employee</w:t>
      </w:r>
      <w:r w:rsidRPr="00FA3C71">
        <w:t>.</w:t>
      </w:r>
    </w:p>
    <w:p w:rsidR="00EC5653" w:rsidRDefault="005612F1" w:rsidP="00FE3DF7">
      <w:pPr>
        <w:pStyle w:val="NormalIndent"/>
        <w:rPr>
          <w:b/>
          <w:color w:val="0070C0"/>
        </w:rPr>
        <w:sectPr w:rsidR="00EC5653" w:rsidSect="00990313">
          <w:pgSz w:w="11907" w:h="16839" w:code="9"/>
          <w:pgMar w:top="1701" w:right="1134" w:bottom="1134" w:left="1417" w:header="567" w:footer="567" w:gutter="0"/>
          <w:cols w:space="720"/>
          <w:titlePg/>
          <w:docGrid w:linePitch="272"/>
        </w:sectPr>
      </w:pPr>
      <w:r>
        <w:rPr>
          <w:b/>
          <w:color w:val="0070C0"/>
        </w:rPr>
        <w:t xml:space="preserve">REMEMBER – </w:t>
      </w:r>
      <w:r w:rsidR="0030368F" w:rsidRPr="00EC5653">
        <w:rPr>
          <w:b/>
          <w:color w:val="0070C0"/>
        </w:rPr>
        <w:t>an employer must 'gross-up' the taxable values of fringe benefits provided to all employees during an FBT year to calculate the employer's FBT liability</w:t>
      </w:r>
      <w:r w:rsidR="00990313" w:rsidRPr="00EC5653">
        <w:rPr>
          <w:b/>
          <w:color w:val="0070C0"/>
        </w:rPr>
        <w:t>.</w:t>
      </w:r>
    </w:p>
    <w:p w:rsidR="00736AC2" w:rsidRPr="00736AC2" w:rsidRDefault="005339DA" w:rsidP="00990313">
      <w:pPr>
        <w:pStyle w:val="AllensHeading2"/>
      </w:pPr>
      <w:bookmarkStart w:id="14" w:name="_Ref411753810"/>
      <w:bookmarkStart w:id="15" w:name="_Ref411755342"/>
      <w:bookmarkStart w:id="16" w:name="_Toc437947569"/>
      <w:r>
        <w:lastRenderedPageBreak/>
        <w:t>FBT Gross-up Formulae</w:t>
      </w:r>
      <w:bookmarkEnd w:id="14"/>
      <w:bookmarkEnd w:id="15"/>
      <w:bookmarkEnd w:id="16"/>
    </w:p>
    <w:p w:rsidR="008B62BC" w:rsidRDefault="005339DA" w:rsidP="00FE3DF7">
      <w:pPr>
        <w:pStyle w:val="NormalIndent"/>
      </w:pPr>
      <w:r>
        <w:t>There are two gross-up formulae</w:t>
      </w:r>
      <w:r w:rsidR="00006064">
        <w:t xml:space="preserve"> and which </w:t>
      </w:r>
      <w:r w:rsidR="000D70A0">
        <w:t>formula</w:t>
      </w:r>
      <w:r w:rsidR="00006064">
        <w:t xml:space="preserve"> is to be used depends upon whether the employer is entitled to claim an input tax credit</w:t>
      </w:r>
      <w:r w:rsidR="000D70A0">
        <w:t xml:space="preserve"> to </w:t>
      </w:r>
      <w:r w:rsidR="006071A8">
        <w:t>offse</w:t>
      </w:r>
      <w:r w:rsidR="000D70A0">
        <w:t>t the goods and services tax</w:t>
      </w:r>
      <w:r w:rsidR="00006064">
        <w:t xml:space="preserve"> </w:t>
      </w:r>
      <w:r w:rsidR="00131D78">
        <w:t xml:space="preserve">payable in respect of </w:t>
      </w:r>
      <w:r w:rsidR="00006064">
        <w:t xml:space="preserve">the </w:t>
      </w:r>
      <w:r w:rsidR="00131D78">
        <w:t>consider</w:t>
      </w:r>
      <w:r w:rsidR="005B0167">
        <w:t>ation that the employer provides</w:t>
      </w:r>
      <w:r w:rsidR="00131D78">
        <w:t xml:space="preserve"> to acquire</w:t>
      </w:r>
      <w:r w:rsidR="002C40B0">
        <w:t xml:space="preserve"> the </w:t>
      </w:r>
      <w:r w:rsidR="00904A91">
        <w:t xml:space="preserve">relevant </w:t>
      </w:r>
      <w:r w:rsidR="002C40B0">
        <w:t>benefit. For those benefits in respect of which an employer is entitled to claim input tax credits (</w:t>
      </w:r>
      <w:r w:rsidR="00904A91">
        <w:t>'</w:t>
      </w:r>
      <w:r w:rsidR="002C40B0">
        <w:t>type 1 benefits</w:t>
      </w:r>
      <w:r w:rsidR="00904A91">
        <w:t>'</w:t>
      </w:r>
      <w:r w:rsidR="002C40B0">
        <w:t>) the</w:t>
      </w:r>
      <w:r w:rsidR="00904A91">
        <w:t xml:space="preserve"> current</w:t>
      </w:r>
      <w:r w:rsidR="002C40B0">
        <w:t xml:space="preserve"> gross-up rate is 2.</w:t>
      </w:r>
      <w:r w:rsidR="00D21401">
        <w:t>1463</w:t>
      </w:r>
      <w:r w:rsidR="006352F8">
        <w:rPr>
          <w:rStyle w:val="FootnoteReference"/>
        </w:rPr>
        <w:footnoteReference w:id="5"/>
      </w:r>
      <w:r w:rsidR="002C40B0">
        <w:t xml:space="preserve">. </w:t>
      </w:r>
    </w:p>
    <w:p w:rsidR="00904A91" w:rsidRDefault="002C40B0" w:rsidP="00FE3DF7">
      <w:pPr>
        <w:pStyle w:val="NormalIndent"/>
      </w:pPr>
      <w:r>
        <w:t>The gross-up rate for those benefits where there is no input tax credit entitlement (</w:t>
      </w:r>
      <w:r w:rsidR="00904A91">
        <w:t>'</w:t>
      </w:r>
      <w:r>
        <w:t>type 2 benefits</w:t>
      </w:r>
      <w:r w:rsidR="00904A91">
        <w:t>')</w:t>
      </w:r>
      <w:r>
        <w:t xml:space="preserve"> is 1.</w:t>
      </w:r>
      <w:r w:rsidR="00D21401">
        <w:t>9608</w:t>
      </w:r>
      <w:r w:rsidR="00F67AC9">
        <w:rPr>
          <w:rStyle w:val="FootnoteReference"/>
        </w:rPr>
        <w:footnoteReference w:id="6"/>
      </w:r>
      <w:r>
        <w:t>. Type 2 benefits in</w:t>
      </w:r>
      <w:r w:rsidR="00904A91">
        <w:t xml:space="preserve">clude those </w:t>
      </w:r>
      <w:r w:rsidR="008B62BC">
        <w:t xml:space="preserve">benefits </w:t>
      </w:r>
      <w:r w:rsidR="00904A91">
        <w:t>that are wholly GST-</w:t>
      </w:r>
      <w:r>
        <w:t>free, where the benefit is represented by goods and services that have not been acqui</w:t>
      </w:r>
      <w:r w:rsidR="006352F8">
        <w:t>r</w:t>
      </w:r>
      <w:r>
        <w:t xml:space="preserve">ed by the employer, benefits provided by an employer who is not registered for GST or where the employer's activities are wholly input taxed. </w:t>
      </w:r>
    </w:p>
    <w:p w:rsidR="005B0167" w:rsidRDefault="002C40B0" w:rsidP="00FE3DF7">
      <w:pPr>
        <w:pStyle w:val="NormalIndent"/>
      </w:pPr>
      <w:r>
        <w:t>The total of these gross</w:t>
      </w:r>
      <w:r w:rsidR="00904A91">
        <w:t>ed</w:t>
      </w:r>
      <w:r>
        <w:t>-up type 1 and type 2 benefits will generally equal the fringe benefits taxable amount of an employer</w:t>
      </w:r>
      <w:r w:rsidR="00904A91">
        <w:t>, except where the employer</w:t>
      </w:r>
      <w:r w:rsidR="00904A91" w:rsidRPr="00904A91">
        <w:t xml:space="preserve"> is a qualifying public or non-profit hospital, public amb</w:t>
      </w:r>
      <w:r w:rsidR="006352F8">
        <w:t>ulance service, health promotion</w:t>
      </w:r>
      <w:r w:rsidR="00904A91" w:rsidRPr="00904A91">
        <w:t xml:space="preserve"> charity o</w:t>
      </w:r>
      <w:r w:rsidR="00904A91">
        <w:t xml:space="preserve">r </w:t>
      </w:r>
      <w:r w:rsidR="002B1307">
        <w:t>PBI</w:t>
      </w:r>
      <w:r w:rsidR="000D70A0">
        <w:t>. T</w:t>
      </w:r>
      <w:r w:rsidR="006352F8">
        <w:t xml:space="preserve">he </w:t>
      </w:r>
      <w:r w:rsidR="00904A91" w:rsidRPr="00904A91">
        <w:t>fringe benefits taxabl</w:t>
      </w:r>
      <w:r w:rsidR="00904A91">
        <w:t xml:space="preserve">e amount </w:t>
      </w:r>
      <w:r w:rsidR="006352F8">
        <w:t xml:space="preserve">for </w:t>
      </w:r>
      <w:r w:rsidR="00131D78">
        <w:t>an entity of this type</w:t>
      </w:r>
      <w:r w:rsidR="000D70A0">
        <w:t xml:space="preserve">, including a </w:t>
      </w:r>
      <w:r w:rsidR="002B1307">
        <w:t>Community Legal C</w:t>
      </w:r>
      <w:r w:rsidR="000D70A0">
        <w:t>entre</w:t>
      </w:r>
      <w:r w:rsidR="0082336A">
        <w:t xml:space="preserve"> </w:t>
      </w:r>
      <w:r w:rsidR="0082336A" w:rsidRPr="0082336A">
        <w:t xml:space="preserve">that is a </w:t>
      </w:r>
      <w:r w:rsidR="002B1307">
        <w:t>PBI</w:t>
      </w:r>
      <w:r w:rsidR="000D70A0">
        <w:t xml:space="preserve">, </w:t>
      </w:r>
      <w:r w:rsidR="00904A91">
        <w:t>will also inc</w:t>
      </w:r>
      <w:r w:rsidR="006352F8">
        <w:t xml:space="preserve">lude </w:t>
      </w:r>
      <w:r w:rsidR="00131D78">
        <w:t>its</w:t>
      </w:r>
      <w:r w:rsidR="00904A91">
        <w:t xml:space="preserve"> '</w:t>
      </w:r>
      <w:r w:rsidR="00904A91" w:rsidRPr="00904A91">
        <w:t>aggregate non-exempt amount</w:t>
      </w:r>
      <w:r w:rsidR="00904A91">
        <w:t xml:space="preserve">' – </w:t>
      </w:r>
      <w:r w:rsidR="002B1307" w:rsidRPr="0053638F">
        <w:rPr>
          <w:i/>
        </w:rPr>
        <w:t xml:space="preserve">see heading </w:t>
      </w:r>
      <w:fldSimple w:instr=" REF _Ref411754350 \r \h  \* MERGEFORMAT ">
        <w:r w:rsidR="000419E4">
          <w:rPr>
            <w:i/>
          </w:rPr>
          <w:t>2.10</w:t>
        </w:r>
      </w:fldSimple>
      <w:r w:rsidR="00904A91">
        <w:t>)</w:t>
      </w:r>
      <w:r w:rsidR="005B0167">
        <w:t>.</w:t>
      </w:r>
    </w:p>
    <w:p w:rsidR="00084511" w:rsidRDefault="005B0167" w:rsidP="00FE3DF7">
      <w:pPr>
        <w:pStyle w:val="NormalIndent"/>
      </w:pPr>
      <w:r>
        <w:t>The way in which an employer's aggregate non-exempt amount is calculated ensures that, in addition t</w:t>
      </w:r>
      <w:r w:rsidR="003932C8">
        <w:t>he employer</w:t>
      </w:r>
      <w:r w:rsidR="00084511">
        <w:t xml:space="preserve"> being able to </w:t>
      </w:r>
      <w:r>
        <w:t>provide</w:t>
      </w:r>
      <w:r w:rsidR="00084511">
        <w:t xml:space="preserve"> its employees with benefits that are exempt from FBT, </w:t>
      </w:r>
      <w:r w:rsidR="003932C8">
        <w:t>the employer</w:t>
      </w:r>
      <w:r w:rsidR="00084511">
        <w:t xml:space="preserve"> can also provide an employee with the following additional benefits without it having to pay any FBT: </w:t>
      </w:r>
    </w:p>
    <w:p w:rsidR="00084511" w:rsidRDefault="002B1307" w:rsidP="00990313">
      <w:pPr>
        <w:pStyle w:val="Bullet2"/>
      </w:pPr>
      <w:r w:rsidRPr="002B1307">
        <w:t>meal entertainment and entertainment facility leasin</w:t>
      </w:r>
      <w:r>
        <w:t>g benefits (</w:t>
      </w:r>
      <w:r w:rsidR="0059382D">
        <w:t xml:space="preserve">currently </w:t>
      </w:r>
      <w:r>
        <w:t>unlimited in value</w:t>
      </w:r>
      <w:r w:rsidR="0059382D">
        <w:rPr>
          <w:rStyle w:val="FootnoteReference"/>
        </w:rPr>
        <w:footnoteReference w:id="7"/>
      </w:r>
      <w:r>
        <w:t>)</w:t>
      </w:r>
      <w:r w:rsidR="00084511">
        <w:t>; and</w:t>
      </w:r>
    </w:p>
    <w:p w:rsidR="00FA3C71" w:rsidRDefault="00084511" w:rsidP="00ED67E2">
      <w:pPr>
        <w:pStyle w:val="Bullet2"/>
      </w:pPr>
      <w:r>
        <w:t>any other types of benefits having a grossed-up fringe benefits amount of not more than $3</w:t>
      </w:r>
      <w:r w:rsidR="00ED67E2">
        <w:t>1,177</w:t>
      </w:r>
      <w:r w:rsidR="00A9763F">
        <w:t xml:space="preserve"> (this cap </w:t>
      </w:r>
      <w:r w:rsidR="00ED67E2">
        <w:t>should reduce</w:t>
      </w:r>
      <w:r w:rsidR="00A9763F">
        <w:t xml:space="preserve"> to $3</w:t>
      </w:r>
      <w:r w:rsidR="00ED67E2">
        <w:t>0,000</w:t>
      </w:r>
      <w:r w:rsidR="00A9763F">
        <w:t xml:space="preserve"> for the FBT year </w:t>
      </w:r>
      <w:r w:rsidR="00ED67E2">
        <w:t xml:space="preserve">commencing on </w:t>
      </w:r>
      <w:r w:rsidR="00A9763F">
        <w:t xml:space="preserve">1 </w:t>
      </w:r>
      <w:r w:rsidR="00ED67E2">
        <w:t>April</w:t>
      </w:r>
      <w:r w:rsidR="00A9763F">
        <w:t xml:space="preserve"> 2017 </w:t>
      </w:r>
      <w:r w:rsidR="00ED67E2">
        <w:t>as</w:t>
      </w:r>
      <w:r w:rsidR="00ED67E2" w:rsidRPr="00ED67E2">
        <w:t xml:space="preserve"> the 2% Temporary Budget Deficit Tax measure is only proposed to apply in the 2014/2015 to 2016/2017 income years</w:t>
      </w:r>
      <w:r w:rsidR="00A9763F">
        <w:t>)</w:t>
      </w:r>
      <w:r>
        <w:t xml:space="preserve">. </w:t>
      </w:r>
    </w:p>
    <w:p w:rsidR="00EC5653" w:rsidRDefault="005612F1" w:rsidP="00FE3DF7">
      <w:pPr>
        <w:pStyle w:val="NormalIndent"/>
        <w:rPr>
          <w:b/>
          <w:color w:val="0070C0"/>
        </w:rPr>
        <w:sectPr w:rsidR="00EC5653" w:rsidSect="00990313">
          <w:pgSz w:w="11907" w:h="16839" w:code="9"/>
          <w:pgMar w:top="1701" w:right="1134" w:bottom="1134" w:left="1417" w:header="567" w:footer="567" w:gutter="0"/>
          <w:cols w:space="720"/>
          <w:titlePg/>
          <w:docGrid w:linePitch="272"/>
        </w:sectPr>
      </w:pPr>
      <w:r>
        <w:rPr>
          <w:b/>
          <w:color w:val="0070C0"/>
        </w:rPr>
        <w:t xml:space="preserve">REMEMBER – </w:t>
      </w:r>
      <w:r w:rsidR="008F0954" w:rsidRPr="00EC5653">
        <w:rPr>
          <w:b/>
          <w:color w:val="0070C0"/>
        </w:rPr>
        <w:t>a PBI can provide employees with meal entertainment and entertainment facility leasing benefits (</w:t>
      </w:r>
      <w:r w:rsidR="007A1043">
        <w:rPr>
          <w:b/>
          <w:color w:val="0070C0"/>
        </w:rPr>
        <w:t xml:space="preserve">currently </w:t>
      </w:r>
      <w:r w:rsidR="008F0954" w:rsidRPr="00EC5653">
        <w:rPr>
          <w:b/>
          <w:color w:val="0070C0"/>
        </w:rPr>
        <w:t xml:space="preserve">unlimited in value) and other benefits </w:t>
      </w:r>
      <w:r w:rsidR="007A1043">
        <w:rPr>
          <w:b/>
          <w:color w:val="0070C0"/>
        </w:rPr>
        <w:t>having a value of up to $31,177</w:t>
      </w:r>
      <w:r w:rsidR="008F0954" w:rsidRPr="00EC5653">
        <w:rPr>
          <w:b/>
          <w:color w:val="0070C0"/>
        </w:rPr>
        <w:t xml:space="preserve"> per year free of FBT</w:t>
      </w:r>
      <w:r w:rsidR="00990313" w:rsidRPr="00EC5653">
        <w:rPr>
          <w:b/>
          <w:color w:val="0070C0"/>
        </w:rPr>
        <w:t>.</w:t>
      </w:r>
    </w:p>
    <w:p w:rsidR="003E22DA" w:rsidRPr="00C302EA" w:rsidRDefault="00F67AC9" w:rsidP="00990313">
      <w:pPr>
        <w:pStyle w:val="AllensHeading2"/>
      </w:pPr>
      <w:bookmarkStart w:id="17" w:name="_Ref411935661"/>
      <w:bookmarkStart w:id="18" w:name="_Toc437947570"/>
      <w:r w:rsidRPr="00C302EA">
        <w:lastRenderedPageBreak/>
        <w:t xml:space="preserve">Effective </w:t>
      </w:r>
      <w:r w:rsidRPr="008F0954">
        <w:t>salary sacrifice</w:t>
      </w:r>
      <w:r w:rsidRPr="00C302EA">
        <w:t xml:space="preserve"> arrangements</w:t>
      </w:r>
      <w:bookmarkEnd w:id="17"/>
      <w:bookmarkEnd w:id="18"/>
    </w:p>
    <w:p w:rsidR="00AA190B" w:rsidRDefault="00F92396" w:rsidP="00D81DE3">
      <w:pPr>
        <w:ind w:left="709"/>
      </w:pPr>
      <w:r>
        <w:t>A</w:t>
      </w:r>
      <w:r w:rsidR="008F0954">
        <w:t xml:space="preserve">s explained in heading </w:t>
      </w:r>
      <w:r w:rsidR="007F1357">
        <w:fldChar w:fldCharType="begin"/>
      </w:r>
      <w:r w:rsidR="008F0954">
        <w:instrText xml:space="preserve"> REF _Ref411754740 \r \h </w:instrText>
      </w:r>
      <w:r w:rsidR="007F1357">
        <w:fldChar w:fldCharType="separate"/>
      </w:r>
      <w:r w:rsidR="000419E4">
        <w:t>1</w:t>
      </w:r>
      <w:r w:rsidR="007F1357">
        <w:fldChar w:fldCharType="end"/>
      </w:r>
      <w:r w:rsidR="008F0954">
        <w:t>, a</w:t>
      </w:r>
      <w:r>
        <w:t>n e</w:t>
      </w:r>
      <w:r w:rsidR="00D81DE3">
        <w:t xml:space="preserve">mployer and employee </w:t>
      </w:r>
      <w:r w:rsidR="00E1139C">
        <w:t>can</w:t>
      </w:r>
      <w:r w:rsidR="00D81DE3">
        <w:t xml:space="preserve"> negotiate a remuneration package </w:t>
      </w:r>
      <w:r w:rsidR="008D2738">
        <w:t xml:space="preserve">that is not </w:t>
      </w:r>
      <w:r w:rsidR="00D81DE3">
        <w:t xml:space="preserve">limited to cash benefits in the form of salary and wages. </w:t>
      </w:r>
      <w:r w:rsidR="00452610">
        <w:t>E</w:t>
      </w:r>
      <w:r w:rsidR="00D81DE3">
        <w:t xml:space="preserve">mployers and employees </w:t>
      </w:r>
      <w:r w:rsidR="00452610">
        <w:t xml:space="preserve">can </w:t>
      </w:r>
      <w:r w:rsidR="00D81DE3">
        <w:t xml:space="preserve">agree on </w:t>
      </w:r>
      <w:r w:rsidR="008D2738">
        <w:t xml:space="preserve">a </w:t>
      </w:r>
      <w:r w:rsidR="00D81DE3">
        <w:t xml:space="preserve">salary package </w:t>
      </w:r>
      <w:r w:rsidR="00452610">
        <w:t>that</w:t>
      </w:r>
      <w:r w:rsidR="00D81DE3">
        <w:t xml:space="preserve"> include</w:t>
      </w:r>
      <w:r w:rsidR="00452610">
        <w:t>s</w:t>
      </w:r>
      <w:r w:rsidR="00D81DE3">
        <w:t xml:space="preserve"> certain non-cash benefits</w:t>
      </w:r>
      <w:r w:rsidR="008D2738">
        <w:t xml:space="preserve">. These benefits </w:t>
      </w:r>
      <w:r w:rsidR="00D81DE3">
        <w:t>can provide the employee with a better after</w:t>
      </w:r>
      <w:r w:rsidR="008D2738">
        <w:t>-</w:t>
      </w:r>
      <w:r w:rsidR="00D81DE3">
        <w:t xml:space="preserve">tax position compared with a salary package comprised solely of </w:t>
      </w:r>
      <w:r w:rsidR="00765ED5">
        <w:t>s</w:t>
      </w:r>
      <w:r w:rsidR="008D2738">
        <w:t>alary and wages</w:t>
      </w:r>
      <w:r w:rsidR="00765ED5">
        <w:t xml:space="preserve"> paid in cash</w:t>
      </w:r>
      <w:r w:rsidR="00E1139C" w:rsidRPr="00E1139C">
        <w:t xml:space="preserve"> (ie, by obtaining benefits that are concessionally taxed or exemp</w:t>
      </w:r>
      <w:r w:rsidR="00E1139C">
        <w:t>t</w:t>
      </w:r>
      <w:r w:rsidR="00EB1784">
        <w:t xml:space="preserve"> from FBT</w:t>
      </w:r>
      <w:r w:rsidR="00E1139C">
        <w:t>).</w:t>
      </w:r>
    </w:p>
    <w:p w:rsidR="005F3D77" w:rsidRDefault="008F0954" w:rsidP="00D81DE3">
      <w:pPr>
        <w:ind w:left="709"/>
      </w:pPr>
      <w:r>
        <w:t>This</w:t>
      </w:r>
      <w:r w:rsidR="008D2738">
        <w:t xml:space="preserve"> </w:t>
      </w:r>
      <w:r w:rsidR="00765ED5">
        <w:t>advantage exists because the rules that apply to tax</w:t>
      </w:r>
      <w:r w:rsidR="0040705A">
        <w:t xml:space="preserve"> </w:t>
      </w:r>
      <w:r w:rsidR="00765ED5">
        <w:t>employee</w:t>
      </w:r>
      <w:r w:rsidR="0040705A">
        <w:t>s</w:t>
      </w:r>
      <w:r w:rsidR="00765ED5">
        <w:t xml:space="preserve"> in respect of</w:t>
      </w:r>
      <w:r w:rsidR="00D81DE3">
        <w:t xml:space="preserve"> salary and wages </w:t>
      </w:r>
      <w:r w:rsidR="00765ED5">
        <w:t xml:space="preserve">that they </w:t>
      </w:r>
      <w:r w:rsidR="00D81DE3">
        <w:t>d</w:t>
      </w:r>
      <w:r w:rsidR="00765ED5">
        <w:t xml:space="preserve">erive differ from the </w:t>
      </w:r>
      <w:r w:rsidR="0040705A">
        <w:t xml:space="preserve">rules </w:t>
      </w:r>
      <w:r w:rsidR="00765ED5">
        <w:t xml:space="preserve">that </w:t>
      </w:r>
      <w:r w:rsidR="00F92396">
        <w:t>t</w:t>
      </w:r>
      <w:r w:rsidR="00765ED5">
        <w:t>ax employers on</w:t>
      </w:r>
      <w:r w:rsidR="00D81DE3">
        <w:t xml:space="preserve"> other types of non-cash benefits provided to employees</w:t>
      </w:r>
      <w:r w:rsidR="008D2738">
        <w:t xml:space="preserve"> (ie, FBT)</w:t>
      </w:r>
      <w:r w:rsidR="00290AE9">
        <w:rPr>
          <w:rStyle w:val="FootnoteReference"/>
        </w:rPr>
        <w:footnoteReference w:id="8"/>
      </w:r>
      <w:r w:rsidR="00D81DE3">
        <w:t xml:space="preserve">. </w:t>
      </w:r>
      <w:r w:rsidR="00290AE9">
        <w:t xml:space="preserve">However, the FBT rules ensure </w:t>
      </w:r>
      <w:r w:rsidR="002D1E56">
        <w:t xml:space="preserve">that </w:t>
      </w:r>
      <w:r w:rsidR="008D2738">
        <w:t xml:space="preserve">the ability to </w:t>
      </w:r>
      <w:r w:rsidR="008C45DB">
        <w:t xml:space="preserve">salary package is not unlimited. Although it is </w:t>
      </w:r>
      <w:r w:rsidR="002D1E56" w:rsidRPr="002D1E56">
        <w:t>possible for</w:t>
      </w:r>
      <w:r w:rsidR="008C45DB">
        <w:t xml:space="preserve"> an</w:t>
      </w:r>
      <w:r w:rsidR="002D1E56" w:rsidRPr="002D1E56">
        <w:t xml:space="preserve"> employee</w:t>
      </w:r>
      <w:r w:rsidR="008C45DB">
        <w:t xml:space="preserve"> to </w:t>
      </w:r>
      <w:r w:rsidR="00294429">
        <w:t>lower</w:t>
      </w:r>
      <w:r w:rsidR="008C45DB">
        <w:t xml:space="preserve"> their income tax</w:t>
      </w:r>
      <w:r w:rsidR="002D1E56" w:rsidRPr="002D1E56">
        <w:t xml:space="preserve"> </w:t>
      </w:r>
      <w:r w:rsidR="008C45DB">
        <w:t xml:space="preserve">liability </w:t>
      </w:r>
      <w:r w:rsidR="002D1E56" w:rsidRPr="002D1E56">
        <w:t xml:space="preserve">by reducing </w:t>
      </w:r>
      <w:r w:rsidR="00DA0FF1">
        <w:t xml:space="preserve">or 'sacrificing' </w:t>
      </w:r>
      <w:r w:rsidR="002D1E56" w:rsidRPr="002D1E56">
        <w:t>the salary and wage component of their remuneration package</w:t>
      </w:r>
      <w:r w:rsidR="00EB1784">
        <w:t xml:space="preserve"> (in return for some other non-cash fringe benefits)</w:t>
      </w:r>
      <w:r w:rsidR="002D1E56" w:rsidRPr="002D1E56">
        <w:t>,</w:t>
      </w:r>
      <w:r w:rsidR="00294429">
        <w:t xml:space="preserve"> </w:t>
      </w:r>
      <w:r w:rsidR="00B33F37">
        <w:t xml:space="preserve">an employer will generally take into account </w:t>
      </w:r>
      <w:r w:rsidR="00DB5BB9">
        <w:t>any</w:t>
      </w:r>
      <w:r w:rsidR="00DA0FF1">
        <w:t xml:space="preserve"> </w:t>
      </w:r>
      <w:r w:rsidR="00B33F37">
        <w:t xml:space="preserve">FBT payable when determining </w:t>
      </w:r>
      <w:r w:rsidR="00DA0FF1">
        <w:t>the amount of salary that can be sacrificed</w:t>
      </w:r>
      <w:r w:rsidR="00B33F37">
        <w:t xml:space="preserve"> and the value of </w:t>
      </w:r>
      <w:r w:rsidR="00DB5BB9">
        <w:t>the</w:t>
      </w:r>
      <w:r w:rsidR="00B33F37">
        <w:t xml:space="preserve"> benefits provided</w:t>
      </w:r>
      <w:r w:rsidR="00DB5BB9">
        <w:t>.</w:t>
      </w:r>
    </w:p>
    <w:p w:rsidR="00686D23" w:rsidRDefault="00B33F37" w:rsidP="00D81DE3">
      <w:pPr>
        <w:ind w:left="709"/>
      </w:pPr>
      <w:r>
        <w:t>It is important to remember that s</w:t>
      </w:r>
      <w:r w:rsidR="008D2738">
        <w:t xml:space="preserve">alary packaging </w:t>
      </w:r>
      <w:r w:rsidR="005F3D77" w:rsidRPr="005F3D77">
        <w:t>is limited to future entitlements to salary or wages that the employee sacrifices in return for the employer providing a fringe benefit</w:t>
      </w:r>
      <w:r w:rsidR="00212C3A">
        <w:t xml:space="preserve"> (ie, </w:t>
      </w:r>
      <w:r w:rsidR="00212C3A" w:rsidRPr="00212C3A">
        <w:t xml:space="preserve">the employee's remuneration package </w:t>
      </w:r>
      <w:r w:rsidR="00212C3A">
        <w:t>must be</w:t>
      </w:r>
      <w:r w:rsidR="00212C3A" w:rsidRPr="00212C3A">
        <w:t xml:space="preserve"> arranged in relation to salary or wages to which the employee is not yet entitled</w:t>
      </w:r>
      <w:r w:rsidR="00212C3A">
        <w:t>)</w:t>
      </w:r>
      <w:r w:rsidR="005F3D77" w:rsidRPr="005F3D77">
        <w:t>. The Commissioner</w:t>
      </w:r>
      <w:r w:rsidR="00CD2225">
        <w:t xml:space="preserve"> of Taxation</w:t>
      </w:r>
      <w:r w:rsidR="005F3D77" w:rsidRPr="005F3D77">
        <w:t xml:space="preserve"> refers to these remunera</w:t>
      </w:r>
      <w:r w:rsidR="00212C3A">
        <w:t>tion packaging arrangements as '</w:t>
      </w:r>
      <w:r w:rsidR="005F3D77" w:rsidRPr="005F3D77">
        <w:t>effective salary sacrifice arrangement</w:t>
      </w:r>
      <w:r w:rsidR="008D2738">
        <w:t>s</w:t>
      </w:r>
      <w:r w:rsidR="00212C3A">
        <w:t>'</w:t>
      </w:r>
      <w:r w:rsidR="005F3D77" w:rsidRPr="005F3D77">
        <w:t>.</w:t>
      </w:r>
      <w:r w:rsidR="008D2738">
        <w:t xml:space="preserve"> </w:t>
      </w:r>
      <w:r w:rsidR="008D2738" w:rsidRPr="005F3D77">
        <w:t xml:space="preserve">In other words, </w:t>
      </w:r>
      <w:r w:rsidR="008D2738">
        <w:t xml:space="preserve">an </w:t>
      </w:r>
      <w:r w:rsidR="008D2738" w:rsidRPr="005F3D77">
        <w:t>employee cannot forego salary and wages that it has already derived</w:t>
      </w:r>
      <w:r w:rsidR="008D2738">
        <w:t xml:space="preserve"> (the Commissioner</w:t>
      </w:r>
      <w:r w:rsidR="00CD2225">
        <w:t xml:space="preserve"> of Taxation</w:t>
      </w:r>
      <w:r w:rsidR="008D2738">
        <w:t xml:space="preserve"> refer</w:t>
      </w:r>
      <w:r w:rsidR="00CD2225">
        <w:t>s</w:t>
      </w:r>
      <w:r w:rsidR="008D2738">
        <w:t xml:space="preserve"> to this as an 'ineffective salary sacrifice arrangement').</w:t>
      </w:r>
    </w:p>
    <w:p w:rsidR="00D81DE3" w:rsidRDefault="00D81DE3" w:rsidP="00D81DE3">
      <w:pPr>
        <w:ind w:left="709"/>
      </w:pPr>
      <w:r>
        <w:t xml:space="preserve">The Commissioner </w:t>
      </w:r>
      <w:r w:rsidR="00CD2225">
        <w:t xml:space="preserve">of Taxation </w:t>
      </w:r>
      <w:r w:rsidR="00456206">
        <w:t xml:space="preserve">accepts that </w:t>
      </w:r>
      <w:r w:rsidR="00E1139C">
        <w:t xml:space="preserve">an </w:t>
      </w:r>
      <w:r w:rsidR="00456206">
        <w:t>employer and employee are free to negotiate</w:t>
      </w:r>
      <w:r w:rsidR="00E1139C">
        <w:t xml:space="preserve"> a</w:t>
      </w:r>
      <w:r w:rsidR="00456206">
        <w:t xml:space="preserve"> remuneration package </w:t>
      </w:r>
      <w:r w:rsidR="00E1139C">
        <w:t xml:space="preserve">that has a </w:t>
      </w:r>
      <w:r w:rsidR="00456206">
        <w:t xml:space="preserve">salary </w:t>
      </w:r>
      <w:r w:rsidR="008E709F">
        <w:t xml:space="preserve">and wage </w:t>
      </w:r>
      <w:r w:rsidR="00E1139C">
        <w:t xml:space="preserve">component but which also provides the employee with </w:t>
      </w:r>
      <w:r w:rsidR="00456206">
        <w:t>other cash and non-cash benefits. The purpose of this booklet is t</w:t>
      </w:r>
      <w:r w:rsidR="00E1139C">
        <w:t xml:space="preserve">o explain the types of benefits an employer can provide that will ensure </w:t>
      </w:r>
      <w:r w:rsidR="008D2738">
        <w:t xml:space="preserve">the employee's after-tax </w:t>
      </w:r>
      <w:r w:rsidR="00456206">
        <w:t xml:space="preserve">position </w:t>
      </w:r>
      <w:r w:rsidR="008D2738">
        <w:t xml:space="preserve">is better </w:t>
      </w:r>
      <w:r w:rsidR="00456206">
        <w:t>compared with a remuneration package comprised solely of salary and wages.</w:t>
      </w:r>
    </w:p>
    <w:p w:rsidR="00EC5653" w:rsidRDefault="00C302EA" w:rsidP="00C302EA">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774C24" w:rsidRPr="00EC5653">
        <w:rPr>
          <w:b/>
          <w:color w:val="0070C0"/>
        </w:rPr>
        <w:t>to be effective for FBT purposes, an employee's remuneration package must be arranged in relation to salary or wages to which the employee is not yet entitled (ie, an employee cannot forego salary and wages already derived)</w:t>
      </w:r>
      <w:r w:rsidR="006A0090" w:rsidRPr="00EC5653">
        <w:rPr>
          <w:b/>
          <w:color w:val="0070C0"/>
        </w:rPr>
        <w:t>.</w:t>
      </w:r>
      <w:r w:rsidR="00774C24" w:rsidRPr="00EC5653">
        <w:rPr>
          <w:b/>
          <w:color w:val="0070C0"/>
        </w:rPr>
        <w:t xml:space="preserve"> </w:t>
      </w:r>
    </w:p>
    <w:p w:rsidR="003E22DA" w:rsidRPr="00C302EA" w:rsidRDefault="00485C77" w:rsidP="006A0090">
      <w:pPr>
        <w:pStyle w:val="AllensHeading2"/>
      </w:pPr>
      <w:bookmarkStart w:id="19" w:name="_Toc437947571"/>
      <w:r w:rsidRPr="00C302EA">
        <w:lastRenderedPageBreak/>
        <w:t>Fully taxable fringe benefits</w:t>
      </w:r>
      <w:bookmarkEnd w:id="19"/>
    </w:p>
    <w:p w:rsidR="005A29A3" w:rsidRDefault="005A29A3" w:rsidP="00D81DE3">
      <w:pPr>
        <w:ind w:left="709"/>
      </w:pPr>
      <w:r>
        <w:t xml:space="preserve">Subject to the qualifications noted below, </w:t>
      </w:r>
      <w:r w:rsidR="00456206">
        <w:t xml:space="preserve">because </w:t>
      </w:r>
      <w:r w:rsidR="00BF64E9">
        <w:t>FBT</w:t>
      </w:r>
      <w:r w:rsidR="00456206">
        <w:t xml:space="preserve"> is payable by employers at the highest marginal income tax rate (currently 4</w:t>
      </w:r>
      <w:r w:rsidR="00D21401">
        <w:t>9</w:t>
      </w:r>
      <w:r w:rsidR="00456206">
        <w:t xml:space="preserve">% including the </w:t>
      </w:r>
      <w:r w:rsidR="00CB5E28">
        <w:t>Medicare</w:t>
      </w:r>
      <w:r w:rsidR="00456206">
        <w:t xml:space="preserve"> levy</w:t>
      </w:r>
      <w:r w:rsidR="00D21401">
        <w:t xml:space="preserve"> and the 2% Temporary Budget Deficit Tax</w:t>
      </w:r>
      <w:r w:rsidR="006678DD">
        <w:rPr>
          <w:rStyle w:val="FootnoteReference"/>
        </w:rPr>
        <w:footnoteReference w:id="9"/>
      </w:r>
      <w:r w:rsidR="00456206">
        <w:t xml:space="preserve">), </w:t>
      </w:r>
      <w:r>
        <w:t xml:space="preserve">generally </w:t>
      </w:r>
      <w:r w:rsidR="00456206">
        <w:t xml:space="preserve">there is no benefit in providing an employee with a benefit that is not either exempt or concessionally taxed under the </w:t>
      </w:r>
      <w:r w:rsidR="007D4B03">
        <w:t xml:space="preserve">FBT </w:t>
      </w:r>
      <w:r w:rsidR="00456206">
        <w:t>regime.</w:t>
      </w:r>
      <w:r w:rsidR="00B6778D">
        <w:t xml:space="preserve"> This is because the employee</w:t>
      </w:r>
      <w:r>
        <w:t>'s after-</w:t>
      </w:r>
      <w:r w:rsidR="00B6778D">
        <w:t>tax position will be no better than if it was paid salary and wages</w:t>
      </w:r>
      <w:r w:rsidR="000828D4">
        <w:t xml:space="preserve"> </w:t>
      </w:r>
      <w:r w:rsidR="005B4D62">
        <w:t>as</w:t>
      </w:r>
      <w:r w:rsidR="000828D4">
        <w:t xml:space="preserve"> FBT is calculated </w:t>
      </w:r>
      <w:r w:rsidR="000828D4" w:rsidRPr="000828D4">
        <w:t>bas</w:t>
      </w:r>
      <w:r w:rsidR="00DC13CF">
        <w:t xml:space="preserve">ed upon the grossed-up </w:t>
      </w:r>
      <w:r w:rsidR="000828D4" w:rsidRPr="000828D4">
        <w:t>value of the benefit provided</w:t>
      </w:r>
      <w:r w:rsidR="000828D4">
        <w:t xml:space="preserve"> (</w:t>
      </w:r>
      <w:r w:rsidR="00BF64E9" w:rsidRPr="0053638F">
        <w:rPr>
          <w:i/>
        </w:rPr>
        <w:t xml:space="preserve">see heading </w:t>
      </w:r>
      <w:fldSimple w:instr=" REF _Ref411755342 \r \h  \* MERGEFORMAT ">
        <w:r w:rsidR="000419E4">
          <w:rPr>
            <w:i/>
          </w:rPr>
          <w:t>2.4</w:t>
        </w:r>
      </w:fldSimple>
      <w:r w:rsidR="000828D4">
        <w:t>)</w:t>
      </w:r>
      <w:r w:rsidR="005B4D62">
        <w:t xml:space="preserve"> and the employer will generally reduce an employee's remuneration package by an amount equal to the FBT payable.</w:t>
      </w:r>
    </w:p>
    <w:p w:rsidR="00456206" w:rsidRDefault="00B6778D" w:rsidP="00D81DE3">
      <w:pPr>
        <w:ind w:left="709"/>
      </w:pPr>
      <w:r>
        <w:t>In fact,</w:t>
      </w:r>
      <w:r w:rsidR="005A29A3">
        <w:t xml:space="preserve"> if</w:t>
      </w:r>
      <w:r>
        <w:t xml:space="preserve"> the employee is not taxed at the highest marginal rate, the employee</w:t>
      </w:r>
      <w:r w:rsidR="00BF64E9">
        <w:t xml:space="preserve">'s </w:t>
      </w:r>
      <w:r w:rsidR="000828D4">
        <w:t>after-tax position will generally be worse</w:t>
      </w:r>
      <w:r w:rsidR="007D4B03">
        <w:t xml:space="preserve"> if it receives a n</w:t>
      </w:r>
      <w:r w:rsidR="000828D4">
        <w:t xml:space="preserve">on-cash benefit instead of </w:t>
      </w:r>
      <w:r w:rsidR="007D4B03">
        <w:t>salary and wages</w:t>
      </w:r>
      <w:r w:rsidR="000828D4">
        <w:t xml:space="preserve"> paid in cash</w:t>
      </w:r>
      <w:r w:rsidR="007C2573">
        <w:rPr>
          <w:rStyle w:val="FootnoteReference"/>
        </w:rPr>
        <w:footnoteReference w:id="10"/>
      </w:r>
      <w:r w:rsidR="005A29A3">
        <w:t>. This is</w:t>
      </w:r>
      <w:r>
        <w:t xml:space="preserve"> because the </w:t>
      </w:r>
      <w:r w:rsidR="000828D4">
        <w:t>FBT</w:t>
      </w:r>
      <w:r>
        <w:t xml:space="preserve"> that </w:t>
      </w:r>
      <w:r w:rsidR="000828D4">
        <w:t xml:space="preserve">an employer must </w:t>
      </w:r>
      <w:r w:rsidR="005B4D62">
        <w:t xml:space="preserve">pay </w:t>
      </w:r>
      <w:r>
        <w:t xml:space="preserve">will exceed the </w:t>
      </w:r>
      <w:r w:rsidR="005A29A3">
        <w:t xml:space="preserve">amount of </w:t>
      </w:r>
      <w:r>
        <w:t xml:space="preserve">income tax </w:t>
      </w:r>
      <w:r w:rsidR="000828D4">
        <w:t xml:space="preserve">that the employee would have </w:t>
      </w:r>
      <w:r w:rsidR="007D4B03">
        <w:t>otherwise pa</w:t>
      </w:r>
      <w:r w:rsidR="000828D4">
        <w:t>id</w:t>
      </w:r>
      <w:r w:rsidR="007D4B03">
        <w:t xml:space="preserve"> </w:t>
      </w:r>
      <w:r w:rsidR="005A29A3">
        <w:t xml:space="preserve">on the salary and </w:t>
      </w:r>
      <w:r w:rsidR="00FD5932">
        <w:t>wages</w:t>
      </w:r>
      <w:r w:rsidR="005A29A3">
        <w:t xml:space="preserve"> derive</w:t>
      </w:r>
      <w:r w:rsidR="000828D4">
        <w:t>d</w:t>
      </w:r>
      <w:r w:rsidR="005A29A3">
        <w:t xml:space="preserve"> to pay for the benefit in question</w:t>
      </w:r>
      <w:r w:rsidR="00FD5932">
        <w:t>. This is demonstrated by the exa</w:t>
      </w:r>
      <w:r w:rsidR="00DE7C6D">
        <w:t>mple belo</w:t>
      </w:r>
      <w:r w:rsidR="00DF66A7">
        <w:t xml:space="preserve">w. </w:t>
      </w:r>
    </w:p>
    <w:p w:rsidR="00FD5932" w:rsidRPr="00A56AC4" w:rsidRDefault="00FD5932" w:rsidP="00D81DE3">
      <w:pPr>
        <w:ind w:left="709"/>
        <w:rPr>
          <w:color w:val="0070C0"/>
        </w:rPr>
      </w:pPr>
    </w:p>
    <w:tbl>
      <w:tblPr>
        <w:tblStyle w:val="TableGrid"/>
        <w:tblW w:w="0" w:type="auto"/>
        <w:tblInd w:w="709" w:type="dxa"/>
        <w:tblLook w:val="04A0"/>
      </w:tblPr>
      <w:tblGrid>
        <w:gridCol w:w="8863"/>
      </w:tblGrid>
      <w:tr w:rsidR="00A56AC4" w:rsidRPr="00A56AC4" w:rsidTr="00BB77AB">
        <w:tc>
          <w:tcPr>
            <w:tcW w:w="8863" w:type="dxa"/>
          </w:tcPr>
          <w:tbl>
            <w:tblPr>
              <w:tblW w:w="8647" w:type="dxa"/>
              <w:tblLook w:val="04A0"/>
            </w:tblPr>
            <w:tblGrid>
              <w:gridCol w:w="3303"/>
              <w:gridCol w:w="260"/>
              <w:gridCol w:w="2551"/>
              <w:gridCol w:w="2533"/>
            </w:tblGrid>
            <w:tr w:rsidR="00A56AC4" w:rsidRPr="00A56AC4" w:rsidTr="0088396C">
              <w:trPr>
                <w:trHeight w:val="244"/>
              </w:trPr>
              <w:tc>
                <w:tcPr>
                  <w:tcW w:w="3563" w:type="dxa"/>
                  <w:gridSpan w:val="2"/>
                  <w:tcBorders>
                    <w:top w:val="nil"/>
                    <w:left w:val="nil"/>
                    <w:bottom w:val="nil"/>
                    <w:right w:val="nil"/>
                  </w:tcBorders>
                  <w:shd w:val="clear" w:color="auto" w:fill="auto"/>
                  <w:noWrap/>
                  <w:vAlign w:val="bottom"/>
                  <w:hideMark/>
                </w:tcPr>
                <w:p w:rsidR="00BB77AB" w:rsidRPr="00A56AC4" w:rsidRDefault="00BB77AB" w:rsidP="00762E50">
                  <w:pPr>
                    <w:spacing w:before="0" w:line="240" w:lineRule="auto"/>
                    <w:rPr>
                      <w:rFonts w:ascii="Calibri" w:hAnsi="Calibri"/>
                      <w:b/>
                      <w:bCs/>
                      <w:color w:val="0070C0"/>
                    </w:rPr>
                  </w:pPr>
                  <w:r w:rsidRPr="00A56AC4">
                    <w:rPr>
                      <w:rFonts w:ascii="Calibri" w:hAnsi="Calibri"/>
                      <w:b/>
                      <w:bCs/>
                      <w:color w:val="0070C0"/>
                    </w:rPr>
                    <w:t>Tax Savings Calculator (201</w:t>
                  </w:r>
                  <w:r w:rsidR="00762E50">
                    <w:rPr>
                      <w:rFonts w:ascii="Calibri" w:hAnsi="Calibri"/>
                      <w:b/>
                      <w:bCs/>
                      <w:color w:val="0070C0"/>
                    </w:rPr>
                    <w:t>5</w:t>
                  </w:r>
                  <w:r w:rsidRPr="00A56AC4">
                    <w:rPr>
                      <w:rFonts w:ascii="Calibri" w:hAnsi="Calibri"/>
                      <w:b/>
                      <w:bCs/>
                      <w:color w:val="0070C0"/>
                    </w:rPr>
                    <w:t>/201</w:t>
                  </w:r>
                  <w:r w:rsidR="00762E50">
                    <w:rPr>
                      <w:rFonts w:ascii="Calibri" w:hAnsi="Calibri"/>
                      <w:b/>
                      <w:bCs/>
                      <w:color w:val="0070C0"/>
                    </w:rPr>
                    <w:t>6</w:t>
                  </w:r>
                  <w:r w:rsidRPr="00A56AC4">
                    <w:rPr>
                      <w:rFonts w:ascii="Calibri" w:hAnsi="Calibri"/>
                      <w:b/>
                      <w:bCs/>
                      <w:color w:val="0070C0"/>
                    </w:rPr>
                    <w:t>)</w:t>
                  </w: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b/>
                      <w:bCs/>
                      <w:color w:val="0070C0"/>
                    </w:rPr>
                  </w:pPr>
                  <w:r w:rsidRPr="00A56AC4">
                    <w:rPr>
                      <w:rFonts w:ascii="Calibri" w:hAnsi="Calibri"/>
                      <w:b/>
                      <w:bCs/>
                      <w:color w:val="0070C0"/>
                    </w:rPr>
                    <w:t>Without Salary Packaging</w:t>
                  </w: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b/>
                      <w:bCs/>
                      <w:color w:val="0070C0"/>
                    </w:rPr>
                  </w:pPr>
                  <w:r w:rsidRPr="00A56AC4">
                    <w:rPr>
                      <w:rFonts w:ascii="Calibri" w:hAnsi="Calibri"/>
                      <w:b/>
                      <w:bCs/>
                      <w:color w:val="0070C0"/>
                    </w:rPr>
                    <w:t>With Salary Packaging</w:t>
                  </w: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b/>
                      <w:bCs/>
                      <w:color w:val="0070C0"/>
                    </w:rPr>
                  </w:pPr>
                  <w:r w:rsidRPr="00A56AC4">
                    <w:rPr>
                      <w:rFonts w:ascii="Calibri" w:hAnsi="Calibri"/>
                      <w:b/>
                      <w:bCs/>
                      <w:color w:val="0070C0"/>
                    </w:rPr>
                    <w:t xml:space="preserve">Total Cash Available After Tax </w:t>
                  </w: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4C370C">
                  <w:pPr>
                    <w:spacing w:before="0" w:line="240" w:lineRule="auto"/>
                    <w:jc w:val="right"/>
                    <w:rPr>
                      <w:rFonts w:ascii="Calibri" w:hAnsi="Calibri"/>
                      <w:b/>
                      <w:bCs/>
                      <w:color w:val="0070C0"/>
                    </w:rPr>
                  </w:pPr>
                  <w:r w:rsidRPr="00A56AC4">
                    <w:rPr>
                      <w:rFonts w:ascii="Calibri" w:hAnsi="Calibri"/>
                      <w:b/>
                      <w:bCs/>
                      <w:color w:val="0070C0"/>
                    </w:rPr>
                    <w:t>$45,493</w:t>
                  </w:r>
                </w:p>
              </w:tc>
              <w:tc>
                <w:tcPr>
                  <w:tcW w:w="2533" w:type="dxa"/>
                  <w:tcBorders>
                    <w:top w:val="nil"/>
                    <w:left w:val="nil"/>
                    <w:bottom w:val="nil"/>
                    <w:right w:val="nil"/>
                  </w:tcBorders>
                  <w:shd w:val="clear" w:color="auto" w:fill="auto"/>
                  <w:noWrap/>
                  <w:vAlign w:val="bottom"/>
                  <w:hideMark/>
                </w:tcPr>
                <w:p w:rsidR="00BB77AB" w:rsidRPr="00A56AC4" w:rsidRDefault="00BB77AB" w:rsidP="002149DA">
                  <w:pPr>
                    <w:spacing w:before="0" w:line="240" w:lineRule="auto"/>
                    <w:jc w:val="right"/>
                    <w:rPr>
                      <w:rFonts w:ascii="Calibri" w:hAnsi="Calibri"/>
                      <w:b/>
                      <w:bCs/>
                      <w:color w:val="0070C0"/>
                    </w:rPr>
                  </w:pPr>
                  <w:r w:rsidRPr="00A56AC4">
                    <w:rPr>
                      <w:rFonts w:ascii="Calibri" w:hAnsi="Calibri"/>
                      <w:b/>
                      <w:bCs/>
                      <w:color w:val="0070C0"/>
                    </w:rPr>
                    <w:t>$4</w:t>
                  </w:r>
                  <w:r w:rsidR="00762E50">
                    <w:rPr>
                      <w:rFonts w:ascii="Calibri" w:hAnsi="Calibri"/>
                      <w:b/>
                      <w:bCs/>
                      <w:color w:val="0070C0"/>
                    </w:rPr>
                    <w:t>4,</w:t>
                  </w:r>
                  <w:r w:rsidR="002149DA">
                    <w:rPr>
                      <w:rFonts w:ascii="Calibri" w:hAnsi="Calibri"/>
                      <w:b/>
                      <w:bCs/>
                      <w:color w:val="0070C0"/>
                    </w:rPr>
                    <w:t>612</w:t>
                  </w: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r w:rsidRPr="00A56AC4">
                    <w:rPr>
                      <w:rFonts w:ascii="Calibri" w:hAnsi="Calibri"/>
                      <w:color w:val="0070C0"/>
                    </w:rPr>
                    <w:t>Gross/Pre-Tax Salary</w:t>
                  </w: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4C370C">
                  <w:pPr>
                    <w:spacing w:before="0" w:line="240" w:lineRule="auto"/>
                    <w:jc w:val="right"/>
                    <w:rPr>
                      <w:rFonts w:ascii="Calibri" w:hAnsi="Calibri"/>
                      <w:color w:val="0070C0"/>
                    </w:rPr>
                  </w:pPr>
                  <w:r w:rsidRPr="00A56AC4">
                    <w:rPr>
                      <w:rFonts w:ascii="Calibri" w:hAnsi="Calibri"/>
                      <w:color w:val="0070C0"/>
                    </w:rPr>
                    <w:t>$61,000</w:t>
                  </w:r>
                </w:p>
              </w:tc>
              <w:tc>
                <w:tcPr>
                  <w:tcW w:w="2533" w:type="dxa"/>
                  <w:tcBorders>
                    <w:top w:val="nil"/>
                    <w:left w:val="nil"/>
                    <w:bottom w:val="nil"/>
                    <w:right w:val="nil"/>
                  </w:tcBorders>
                  <w:shd w:val="clear" w:color="auto" w:fill="auto"/>
                  <w:noWrap/>
                  <w:vAlign w:val="bottom"/>
                  <w:hideMark/>
                </w:tcPr>
                <w:p w:rsidR="00BB77AB" w:rsidRPr="00A56AC4" w:rsidRDefault="00BB77AB" w:rsidP="002149DA">
                  <w:pPr>
                    <w:spacing w:before="0" w:line="240" w:lineRule="auto"/>
                    <w:jc w:val="right"/>
                    <w:rPr>
                      <w:rFonts w:ascii="Calibri" w:hAnsi="Calibri"/>
                      <w:color w:val="0070C0"/>
                    </w:rPr>
                  </w:pPr>
                  <w:r w:rsidRPr="00A56AC4">
                    <w:rPr>
                      <w:rFonts w:ascii="Calibri" w:hAnsi="Calibri"/>
                      <w:color w:val="0070C0"/>
                    </w:rPr>
                    <w:t>$5</w:t>
                  </w:r>
                  <w:r w:rsidR="002149DA">
                    <w:rPr>
                      <w:rFonts w:ascii="Calibri" w:hAnsi="Calibri"/>
                      <w:color w:val="0070C0"/>
                    </w:rPr>
                    <w:t>4,936</w:t>
                  </w: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r w:rsidRPr="00A56AC4">
                    <w:rPr>
                      <w:rFonts w:ascii="Calibri" w:hAnsi="Calibri"/>
                      <w:color w:val="0070C0"/>
                    </w:rPr>
                    <w:t>Income Tax Payable</w:t>
                  </w: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4C370C" w:rsidP="004C370C">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$12,507</w:t>
                  </w:r>
                  <w:r>
                    <w:rPr>
                      <w:rFonts w:ascii="Calibri" w:hAnsi="Calibri"/>
                      <w:color w:val="0070C0"/>
                    </w:rPr>
                    <w:t>)</w:t>
                  </w:r>
                </w:p>
              </w:tc>
              <w:tc>
                <w:tcPr>
                  <w:tcW w:w="2533" w:type="dxa"/>
                  <w:tcBorders>
                    <w:top w:val="nil"/>
                    <w:left w:val="nil"/>
                    <w:bottom w:val="nil"/>
                    <w:right w:val="nil"/>
                  </w:tcBorders>
                  <w:shd w:val="clear" w:color="auto" w:fill="auto"/>
                  <w:noWrap/>
                  <w:vAlign w:val="bottom"/>
                  <w:hideMark/>
                </w:tcPr>
                <w:p w:rsidR="00BB77AB" w:rsidRPr="00A56AC4" w:rsidRDefault="004C370C" w:rsidP="002149DA">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$10,</w:t>
                  </w:r>
                  <w:r w:rsidR="002149DA">
                    <w:rPr>
                      <w:rFonts w:ascii="Calibri" w:hAnsi="Calibri"/>
                      <w:color w:val="0070C0"/>
                    </w:rPr>
                    <w:t>324</w:t>
                  </w:r>
                  <w:r>
                    <w:rPr>
                      <w:rFonts w:ascii="Calibri" w:hAnsi="Calibri"/>
                      <w:color w:val="0070C0"/>
                    </w:rPr>
                    <w:t>)</w:t>
                  </w:r>
                </w:p>
              </w:tc>
            </w:tr>
            <w:tr w:rsidR="00A56AC4" w:rsidRPr="00A56AC4" w:rsidTr="0088396C">
              <w:trPr>
                <w:trHeight w:val="244"/>
              </w:trPr>
              <w:tc>
                <w:tcPr>
                  <w:tcW w:w="3303" w:type="dxa"/>
                  <w:tcBorders>
                    <w:top w:val="nil"/>
                    <w:left w:val="nil"/>
                    <w:bottom w:val="nil"/>
                    <w:right w:val="nil"/>
                  </w:tcBorders>
                  <w:shd w:val="clear" w:color="auto" w:fill="auto"/>
                  <w:noWrap/>
                  <w:vAlign w:val="bottom"/>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tcPr>
                <w:p w:rsidR="00BB77AB" w:rsidRPr="00A56AC4" w:rsidRDefault="00BB77AB" w:rsidP="00BB77AB">
                  <w:pPr>
                    <w:spacing w:before="0" w:line="240" w:lineRule="auto"/>
                    <w:jc w:val="right"/>
                    <w:rPr>
                      <w:rFonts w:ascii="Calibri" w:hAnsi="Calibri"/>
                      <w:color w:val="0070C0"/>
                    </w:rPr>
                  </w:pPr>
                </w:p>
              </w:tc>
              <w:tc>
                <w:tcPr>
                  <w:tcW w:w="2533" w:type="dxa"/>
                  <w:tcBorders>
                    <w:top w:val="nil"/>
                    <w:left w:val="nil"/>
                    <w:bottom w:val="nil"/>
                    <w:right w:val="nil"/>
                  </w:tcBorders>
                  <w:shd w:val="clear" w:color="auto" w:fill="auto"/>
                  <w:noWrap/>
                  <w:vAlign w:val="bottom"/>
                </w:tcPr>
                <w:p w:rsidR="00BB77AB" w:rsidRPr="00A56AC4" w:rsidRDefault="00BB77AB" w:rsidP="00BB77AB">
                  <w:pPr>
                    <w:spacing w:before="0" w:line="240" w:lineRule="auto"/>
                    <w:jc w:val="right"/>
                    <w:rPr>
                      <w:rFonts w:ascii="Calibri" w:hAnsi="Calibri"/>
                      <w:color w:val="0070C0"/>
                    </w:rPr>
                  </w:pP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r w:rsidRPr="00A56AC4">
                    <w:rPr>
                      <w:rFonts w:ascii="Calibri" w:hAnsi="Calibri"/>
                      <w:color w:val="0070C0"/>
                    </w:rPr>
                    <w:t>Non-Exempt Benefits (type 1)</w:t>
                  </w: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4C370C" w:rsidP="004C370C">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$2,000</w:t>
                  </w:r>
                  <w:r>
                    <w:rPr>
                      <w:rFonts w:ascii="Calibri" w:hAnsi="Calibri"/>
                      <w:color w:val="0070C0"/>
                    </w:rPr>
                    <w:t>)</w:t>
                  </w:r>
                </w:p>
              </w:tc>
              <w:tc>
                <w:tcPr>
                  <w:tcW w:w="2533" w:type="dxa"/>
                  <w:tcBorders>
                    <w:top w:val="nil"/>
                    <w:left w:val="nil"/>
                    <w:bottom w:val="nil"/>
                    <w:right w:val="nil"/>
                  </w:tcBorders>
                  <w:shd w:val="clear" w:color="auto" w:fill="auto"/>
                  <w:noWrap/>
                  <w:vAlign w:val="bottom"/>
                  <w:hideMark/>
                </w:tcPr>
                <w:p w:rsidR="00BB77AB" w:rsidRPr="00A56AC4" w:rsidRDefault="004C370C" w:rsidP="004C370C">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$2,000</w:t>
                  </w:r>
                  <w:r>
                    <w:rPr>
                      <w:rFonts w:ascii="Calibri" w:hAnsi="Calibri"/>
                      <w:color w:val="0070C0"/>
                    </w:rPr>
                    <w:t>)</w:t>
                  </w: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r w:rsidRPr="00A56AC4">
                    <w:rPr>
                      <w:rFonts w:ascii="Calibri" w:hAnsi="Calibri"/>
                      <w:color w:val="0070C0"/>
                    </w:rPr>
                    <w:t>Non-Exempt Benefits (type 2)</w:t>
                  </w: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4C370C" w:rsidP="004C370C">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$1,000</w:t>
                  </w:r>
                  <w:r>
                    <w:rPr>
                      <w:rFonts w:ascii="Calibri" w:hAnsi="Calibri"/>
                      <w:color w:val="0070C0"/>
                    </w:rPr>
                    <w:t>)</w:t>
                  </w:r>
                </w:p>
              </w:tc>
              <w:tc>
                <w:tcPr>
                  <w:tcW w:w="2533" w:type="dxa"/>
                  <w:tcBorders>
                    <w:top w:val="nil"/>
                    <w:left w:val="nil"/>
                    <w:bottom w:val="nil"/>
                    <w:right w:val="nil"/>
                  </w:tcBorders>
                  <w:shd w:val="clear" w:color="auto" w:fill="auto"/>
                  <w:noWrap/>
                  <w:vAlign w:val="bottom"/>
                  <w:hideMark/>
                </w:tcPr>
                <w:p w:rsidR="00BB77AB" w:rsidRPr="00A56AC4" w:rsidRDefault="004C370C" w:rsidP="004C370C">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$1,000</w:t>
                  </w:r>
                  <w:r>
                    <w:rPr>
                      <w:rFonts w:ascii="Calibri" w:hAnsi="Calibri"/>
                      <w:color w:val="0070C0"/>
                    </w:rPr>
                    <w:t>)</w:t>
                  </w: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r w:rsidRPr="00A56AC4">
                    <w:rPr>
                      <w:rFonts w:ascii="Calibri" w:hAnsi="Calibri"/>
                      <w:color w:val="0070C0"/>
                    </w:rPr>
                    <w:t>FBT Payable</w:t>
                  </w: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jc w:val="right"/>
                    <w:rPr>
                      <w:rFonts w:ascii="Calibri" w:hAnsi="Calibri"/>
                      <w:color w:val="0070C0"/>
                    </w:rPr>
                  </w:pPr>
                  <w:r w:rsidRPr="00A56AC4">
                    <w:rPr>
                      <w:rFonts w:ascii="Calibri" w:hAnsi="Calibri"/>
                      <w:color w:val="0070C0"/>
                    </w:rPr>
                    <w:t>$0.00</w:t>
                  </w:r>
                </w:p>
              </w:tc>
              <w:tc>
                <w:tcPr>
                  <w:tcW w:w="2533" w:type="dxa"/>
                  <w:tcBorders>
                    <w:top w:val="nil"/>
                    <w:left w:val="nil"/>
                    <w:bottom w:val="nil"/>
                    <w:right w:val="nil"/>
                  </w:tcBorders>
                  <w:shd w:val="clear" w:color="auto" w:fill="auto"/>
                  <w:noWrap/>
                  <w:vAlign w:val="bottom"/>
                  <w:hideMark/>
                </w:tcPr>
                <w:p w:rsidR="00BB77AB" w:rsidRPr="00A56AC4" w:rsidRDefault="004C370C" w:rsidP="00762E50">
                  <w:pPr>
                    <w:spacing w:before="0" w:line="240" w:lineRule="auto"/>
                    <w:jc w:val="right"/>
                    <w:rPr>
                      <w:rFonts w:ascii="Calibri" w:hAnsi="Calibri"/>
                      <w:color w:val="0070C0"/>
                    </w:rPr>
                  </w:pPr>
                  <w:r>
                    <w:rPr>
                      <w:rFonts w:ascii="Calibri" w:hAnsi="Calibri"/>
                      <w:color w:val="0070C0"/>
                    </w:rPr>
                    <w:t>(</w:t>
                  </w:r>
                  <w:r w:rsidR="00BB77AB" w:rsidRPr="00A56AC4">
                    <w:rPr>
                      <w:rFonts w:ascii="Calibri" w:hAnsi="Calibri"/>
                      <w:color w:val="0070C0"/>
                    </w:rPr>
                    <w:t>$</w:t>
                  </w:r>
                  <w:r w:rsidR="00762E50">
                    <w:rPr>
                      <w:rFonts w:ascii="Calibri" w:hAnsi="Calibri"/>
                      <w:color w:val="0070C0"/>
                    </w:rPr>
                    <w:t>3,064</w:t>
                  </w:r>
                  <w:r>
                    <w:rPr>
                      <w:rFonts w:ascii="Calibri" w:hAnsi="Calibri"/>
                      <w:color w:val="0070C0"/>
                    </w:rPr>
                    <w:t>)</w:t>
                  </w:r>
                </w:p>
              </w:tc>
            </w:tr>
            <w:tr w:rsidR="00A56AC4" w:rsidRPr="00A56AC4" w:rsidTr="0088396C">
              <w:trPr>
                <w:trHeight w:val="244"/>
              </w:trPr>
              <w:tc>
                <w:tcPr>
                  <w:tcW w:w="330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r>
            <w:tr w:rsidR="00A56AC4" w:rsidRPr="00A56AC4" w:rsidTr="0088396C">
              <w:trPr>
                <w:trHeight w:val="244"/>
              </w:trPr>
              <w:tc>
                <w:tcPr>
                  <w:tcW w:w="3563" w:type="dxa"/>
                  <w:gridSpan w:val="2"/>
                  <w:tcBorders>
                    <w:top w:val="nil"/>
                    <w:left w:val="nil"/>
                    <w:bottom w:val="nil"/>
                    <w:right w:val="nil"/>
                  </w:tcBorders>
                  <w:shd w:val="clear" w:color="auto" w:fill="auto"/>
                  <w:noWrap/>
                  <w:vAlign w:val="bottom"/>
                  <w:hideMark/>
                </w:tcPr>
                <w:p w:rsidR="00BB77AB" w:rsidRPr="00A56AC4" w:rsidRDefault="00BB77AB" w:rsidP="00525A57">
                  <w:pPr>
                    <w:spacing w:before="0" w:line="240" w:lineRule="auto"/>
                    <w:rPr>
                      <w:rFonts w:ascii="Calibri" w:hAnsi="Calibri"/>
                      <w:b/>
                      <w:bCs/>
                      <w:color w:val="0070C0"/>
                    </w:rPr>
                  </w:pPr>
                  <w:r w:rsidRPr="00A56AC4">
                    <w:rPr>
                      <w:rFonts w:ascii="Calibri" w:hAnsi="Calibri"/>
                      <w:b/>
                      <w:bCs/>
                      <w:color w:val="0070C0"/>
                    </w:rPr>
                    <w:t xml:space="preserve">Net </w:t>
                  </w:r>
                  <w:r w:rsidR="00525A57">
                    <w:rPr>
                      <w:rFonts w:ascii="Calibri" w:hAnsi="Calibri"/>
                      <w:b/>
                      <w:bCs/>
                      <w:color w:val="0070C0"/>
                    </w:rPr>
                    <w:t>Detriment by</w:t>
                  </w:r>
                  <w:r w:rsidRPr="00A56AC4">
                    <w:rPr>
                      <w:rFonts w:ascii="Calibri" w:hAnsi="Calibri"/>
                      <w:b/>
                      <w:bCs/>
                      <w:color w:val="0070C0"/>
                    </w:rPr>
                    <w:t xml:space="preserve"> Salary Packaging</w:t>
                  </w:r>
                </w:p>
              </w:tc>
              <w:tc>
                <w:tcPr>
                  <w:tcW w:w="2551" w:type="dxa"/>
                  <w:tcBorders>
                    <w:top w:val="nil"/>
                    <w:left w:val="nil"/>
                    <w:bottom w:val="nil"/>
                    <w:right w:val="nil"/>
                  </w:tcBorders>
                  <w:shd w:val="clear" w:color="auto" w:fill="auto"/>
                  <w:noWrap/>
                  <w:vAlign w:val="bottom"/>
                  <w:hideMark/>
                </w:tcPr>
                <w:p w:rsidR="00BB77AB" w:rsidRPr="00A56AC4" w:rsidRDefault="00BB77AB" w:rsidP="00BB77AB">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BB77AB" w:rsidRPr="004C370C" w:rsidRDefault="004C370C" w:rsidP="002149DA">
                  <w:pPr>
                    <w:spacing w:before="0" w:line="240" w:lineRule="auto"/>
                    <w:jc w:val="right"/>
                    <w:rPr>
                      <w:rFonts w:ascii="Calibri" w:hAnsi="Calibri"/>
                      <w:b/>
                      <w:bCs/>
                      <w:color w:val="0070C0"/>
                    </w:rPr>
                  </w:pPr>
                  <w:r w:rsidRPr="004C370C">
                    <w:rPr>
                      <w:rFonts w:ascii="Calibri" w:hAnsi="Calibri"/>
                      <w:b/>
                      <w:bCs/>
                      <w:color w:val="0070C0"/>
                    </w:rPr>
                    <w:t>(</w:t>
                  </w:r>
                  <w:r w:rsidR="00762E50">
                    <w:rPr>
                      <w:rFonts w:ascii="Calibri" w:hAnsi="Calibri"/>
                      <w:b/>
                      <w:bCs/>
                      <w:color w:val="0070C0"/>
                    </w:rPr>
                    <w:t>$</w:t>
                  </w:r>
                  <w:r w:rsidR="002149DA">
                    <w:rPr>
                      <w:rFonts w:ascii="Calibri" w:hAnsi="Calibri"/>
                      <w:b/>
                      <w:bCs/>
                      <w:color w:val="0070C0"/>
                    </w:rPr>
                    <w:t>881</w:t>
                  </w:r>
                  <w:r w:rsidRPr="004C370C">
                    <w:rPr>
                      <w:rFonts w:ascii="Calibri" w:hAnsi="Calibri"/>
                      <w:b/>
                      <w:bCs/>
                      <w:color w:val="0070C0"/>
                    </w:rPr>
                    <w:t>)</w:t>
                  </w:r>
                </w:p>
              </w:tc>
            </w:tr>
          </w:tbl>
          <w:p w:rsidR="00BB77AB" w:rsidRPr="00A56AC4" w:rsidRDefault="00BB77AB" w:rsidP="00D81DE3">
            <w:pPr>
              <w:rPr>
                <w:color w:val="0070C0"/>
              </w:rPr>
            </w:pPr>
          </w:p>
        </w:tc>
      </w:tr>
    </w:tbl>
    <w:p w:rsidR="000D4C71" w:rsidRPr="00A56AC4" w:rsidRDefault="000D4C71" w:rsidP="00D81DE3">
      <w:pPr>
        <w:ind w:left="709"/>
        <w:rPr>
          <w:color w:val="0070C0"/>
        </w:rPr>
      </w:pPr>
    </w:p>
    <w:p w:rsidR="0068570D" w:rsidRDefault="0068570D" w:rsidP="005A29A3">
      <w:pPr>
        <w:ind w:left="709"/>
      </w:pPr>
      <w:r>
        <w:t xml:space="preserve">However, from a non-tax perspective, an employer may obtain other </w:t>
      </w:r>
      <w:r w:rsidR="00BB3F36">
        <w:t xml:space="preserve">intangible </w:t>
      </w:r>
      <w:r>
        <w:t>benefits by agreeing to provide certain t</w:t>
      </w:r>
      <w:r w:rsidR="00BB3F36">
        <w:t>ypes of benefits to employees. It</w:t>
      </w:r>
      <w:r>
        <w:t xml:space="preserve"> is often thought that where an employer pays, for instance, school </w:t>
      </w:r>
      <w:r w:rsidR="005B4D62">
        <w:t xml:space="preserve">fees, health insurance premiums, </w:t>
      </w:r>
      <w:r w:rsidR="002C2786">
        <w:t>home loan repayments</w:t>
      </w:r>
      <w:r w:rsidR="005B4D62">
        <w:t xml:space="preserve"> or other personal expenses</w:t>
      </w:r>
      <w:r w:rsidR="002C2786">
        <w:t xml:space="preserve"> </w:t>
      </w:r>
      <w:r>
        <w:t xml:space="preserve">that an employee would otherwise need to pay, </w:t>
      </w:r>
      <w:r w:rsidR="002C2786">
        <w:t>this may help the employer to retain, reward and motivate valued employees</w:t>
      </w:r>
      <w:r w:rsidR="00082A42">
        <w:t xml:space="preserve"> (even if the benefit is subject to FBT)</w:t>
      </w:r>
      <w:r w:rsidR="00990313" w:rsidRPr="00990313">
        <w:t xml:space="preserve">. </w:t>
      </w:r>
    </w:p>
    <w:p w:rsidR="00EC5653" w:rsidRDefault="00C302EA" w:rsidP="00082A42">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082A42" w:rsidRPr="00EC5653">
        <w:rPr>
          <w:b/>
          <w:color w:val="0070C0"/>
        </w:rPr>
        <w:t>unless a fringe benefit is exempt from FBT or taxed concessionally, an employee's after-tax position will generally be worse if the employee is not taxed at the highest marginal rate and the employee sacrifices salary and wages for that benefit</w:t>
      </w:r>
      <w:r w:rsidR="00DE7C6D" w:rsidRPr="00EC5653">
        <w:rPr>
          <w:b/>
          <w:color w:val="0070C0"/>
        </w:rPr>
        <w:t>.</w:t>
      </w:r>
    </w:p>
    <w:p w:rsidR="00C302EA" w:rsidRPr="00CE470A" w:rsidRDefault="00BB3F36" w:rsidP="00DE7C6D">
      <w:pPr>
        <w:pStyle w:val="AllensHeading2"/>
      </w:pPr>
      <w:bookmarkStart w:id="20" w:name="_Toc437947572"/>
      <w:r>
        <w:lastRenderedPageBreak/>
        <w:t>Otherwise deductible rule</w:t>
      </w:r>
      <w:bookmarkEnd w:id="20"/>
    </w:p>
    <w:p w:rsidR="00FF036A" w:rsidRDefault="007C2573" w:rsidP="005A29A3">
      <w:pPr>
        <w:ind w:left="709"/>
      </w:pPr>
      <w:r>
        <w:t xml:space="preserve">There is an </w:t>
      </w:r>
      <w:r w:rsidR="00FF036A">
        <w:t>exception to the principle that an employee will generally be no better off if they sacrifice cash for a fringe benefit that is not exempt from FBT or taxed concessionally  (</w:t>
      </w:r>
      <w:r w:rsidR="00FF036A" w:rsidRPr="00FF036A">
        <w:t xml:space="preserve">even where </w:t>
      </w:r>
      <w:r w:rsidR="00FF036A">
        <w:t>that</w:t>
      </w:r>
      <w:r w:rsidR="00FF036A" w:rsidRPr="00FF036A">
        <w:t xml:space="preserve"> employee is not taxed at the highest marginal rate</w:t>
      </w:r>
      <w:r w:rsidR="00FF036A">
        <w:t xml:space="preserve">). </w:t>
      </w:r>
      <w:r w:rsidR="007E4CD3">
        <w:t>Specifically, it</w:t>
      </w:r>
      <w:r w:rsidR="005A7BC6">
        <w:t xml:space="preserve"> can be beneficial for an employer to provide </w:t>
      </w:r>
      <w:r w:rsidR="007E4CD3">
        <w:t>an</w:t>
      </w:r>
      <w:r w:rsidR="005A7BC6">
        <w:t xml:space="preserve"> employee with</w:t>
      </w:r>
      <w:r w:rsidR="005A29A3">
        <w:t xml:space="preserve"> benefits in respect of which </w:t>
      </w:r>
      <w:r w:rsidR="005A7BC6">
        <w:t>that</w:t>
      </w:r>
      <w:r w:rsidR="005A29A3">
        <w:t xml:space="preserve"> employee would be entitled to</w:t>
      </w:r>
      <w:r w:rsidR="005A7BC6">
        <w:t xml:space="preserve"> claim a </w:t>
      </w:r>
      <w:r w:rsidR="007E4CD3">
        <w:t xml:space="preserve">one-off </w:t>
      </w:r>
      <w:r w:rsidR="005A7BC6">
        <w:t>tax deduction if the employee had</w:t>
      </w:r>
      <w:r w:rsidR="005A29A3">
        <w:t xml:space="preserve"> paid for the benefit itself </w:t>
      </w:r>
      <w:r w:rsidR="009414AF">
        <w:t>(this is referred to as the  'otherwise deductible rule'</w:t>
      </w:r>
      <w:r w:rsidR="00E032B6">
        <w:t>)</w:t>
      </w:r>
      <w:r w:rsidR="00521D22">
        <w:rPr>
          <w:rStyle w:val="FootnoteReference"/>
        </w:rPr>
        <w:footnoteReference w:id="11"/>
      </w:r>
      <w:r w:rsidR="005A29A3">
        <w:t xml:space="preserve">. </w:t>
      </w:r>
    </w:p>
    <w:p w:rsidR="00E032B6" w:rsidRDefault="005A7BC6" w:rsidP="005A29A3">
      <w:pPr>
        <w:ind w:left="709"/>
      </w:pPr>
      <w:r>
        <w:t>Since FBT is not</w:t>
      </w:r>
      <w:r w:rsidR="007D4B03">
        <w:t xml:space="preserve"> </w:t>
      </w:r>
      <w:r w:rsidR="00E032B6">
        <w:t>payable where th</w:t>
      </w:r>
      <w:r w:rsidR="00FF036A">
        <w:t>e otherwise deductible</w:t>
      </w:r>
      <w:r w:rsidR="00E032B6">
        <w:t xml:space="preserve"> rules applies to a benefit that an employer provides to an employee, the employee obtains a timing benefit compared </w:t>
      </w:r>
      <w:r w:rsidR="007D4B03">
        <w:t>with</w:t>
      </w:r>
      <w:r>
        <w:t xml:space="preserve"> a remuneration package where</w:t>
      </w:r>
      <w:r w:rsidR="007D4B03">
        <w:t xml:space="preserve"> </w:t>
      </w:r>
      <w:r>
        <w:t xml:space="preserve">the employee only receives </w:t>
      </w:r>
      <w:r w:rsidR="00E032B6">
        <w:t xml:space="preserve">salary and wages. This is because the employee only obtains the 'benefit' of the relevant tax deduction at the end of the income year when the employee lodges its tax return. </w:t>
      </w:r>
    </w:p>
    <w:p w:rsidR="00B01CBB" w:rsidRDefault="00E032B6" w:rsidP="005A29A3">
      <w:pPr>
        <w:ind w:left="709"/>
      </w:pPr>
      <w:r>
        <w:t xml:space="preserve">In other words, because the </w:t>
      </w:r>
      <w:r w:rsidR="009414AF">
        <w:t>pay-as-you –go (PAYG) w</w:t>
      </w:r>
      <w:r>
        <w:t xml:space="preserve">ithholding rules require </w:t>
      </w:r>
      <w:r w:rsidR="009414AF">
        <w:t>an</w:t>
      </w:r>
      <w:r>
        <w:t xml:space="preserve"> employer to remit tax to the </w:t>
      </w:r>
      <w:r w:rsidR="009414AF">
        <w:t>Commissioner of Taxation</w:t>
      </w:r>
      <w:r>
        <w:t xml:space="preserve"> </w:t>
      </w:r>
      <w:r w:rsidR="007D4B03">
        <w:t xml:space="preserve">periodically throughout an income tax year </w:t>
      </w:r>
      <w:r w:rsidR="008D2E66">
        <w:t xml:space="preserve">in respect of an employee's </w:t>
      </w:r>
      <w:r w:rsidR="00C0465F">
        <w:t>salary and wages,</w:t>
      </w:r>
      <w:r>
        <w:t xml:space="preserve"> </w:t>
      </w:r>
      <w:r w:rsidR="00C0465F">
        <w:t xml:space="preserve">the employee can only recover </w:t>
      </w:r>
      <w:r w:rsidR="007D4B03">
        <w:t xml:space="preserve">a refund of that tax </w:t>
      </w:r>
      <w:r w:rsidR="008D2E66">
        <w:t xml:space="preserve">(or a reduction in the amount of tax that the employee would otherwise pay) </w:t>
      </w:r>
      <w:r w:rsidR="00C0465F">
        <w:t xml:space="preserve">after the employee has lodged its </w:t>
      </w:r>
      <w:r w:rsidR="009414AF">
        <w:t xml:space="preserve">annual </w:t>
      </w:r>
      <w:r w:rsidR="00C0465F">
        <w:t>tax return</w:t>
      </w:r>
      <w:r>
        <w:t>.</w:t>
      </w:r>
      <w:r w:rsidR="0068570D">
        <w:t xml:space="preserve"> </w:t>
      </w:r>
      <w:r w:rsidR="00B01CBB">
        <w:t xml:space="preserve">The example below demonstrates </w:t>
      </w:r>
      <w:r w:rsidR="007D4B03">
        <w:t>this timing benefit for an employee</w:t>
      </w:r>
      <w:r w:rsidR="003E0F9F">
        <w:t xml:space="preserve"> with a pre-tax/gross annual salary of $51,000 and an interest-only investment loan where the monthly interest payments of $1,000 are fully tax deductible to the employee</w:t>
      </w:r>
      <w:r w:rsidR="00DE7C6D">
        <w:t>.</w:t>
      </w:r>
    </w:p>
    <w:p w:rsidR="003E0F9F" w:rsidRDefault="003E0F9F" w:rsidP="005A29A3">
      <w:pPr>
        <w:ind w:left="709"/>
      </w:pPr>
    </w:p>
    <w:tbl>
      <w:tblPr>
        <w:tblpPr w:leftFromText="180" w:rightFromText="180" w:vertAnchor="text" w:tblpX="715" w:tblpY="1"/>
        <w:tblOverlap w:val="never"/>
        <w:tblW w:w="8647" w:type="dxa"/>
        <w:tblLook w:val="04A0"/>
      </w:tblPr>
      <w:tblGrid>
        <w:gridCol w:w="3303"/>
        <w:gridCol w:w="491"/>
        <w:gridCol w:w="2320"/>
        <w:gridCol w:w="2533"/>
      </w:tblGrid>
      <w:tr w:rsidR="003E0F9F" w:rsidRPr="003715CA" w:rsidTr="00041BC1">
        <w:trPr>
          <w:trHeight w:val="244"/>
        </w:trPr>
        <w:tc>
          <w:tcPr>
            <w:tcW w:w="3794" w:type="dxa"/>
            <w:gridSpan w:val="2"/>
            <w:tcBorders>
              <w:top w:val="nil"/>
              <w:left w:val="nil"/>
              <w:bottom w:val="nil"/>
              <w:right w:val="nil"/>
            </w:tcBorders>
            <w:shd w:val="clear" w:color="auto" w:fill="auto"/>
            <w:noWrap/>
            <w:vAlign w:val="bottom"/>
            <w:hideMark/>
          </w:tcPr>
          <w:p w:rsidR="003E0F9F" w:rsidRPr="003715CA" w:rsidRDefault="003E0F9F" w:rsidP="006C03FB">
            <w:pPr>
              <w:spacing w:before="0" w:line="240" w:lineRule="auto"/>
              <w:rPr>
                <w:rFonts w:ascii="Calibri" w:hAnsi="Calibri"/>
                <w:b/>
                <w:bCs/>
                <w:color w:val="0070C0"/>
              </w:rPr>
            </w:pPr>
            <w:r w:rsidRPr="003715CA">
              <w:rPr>
                <w:rFonts w:ascii="Calibri" w:hAnsi="Calibri"/>
                <w:b/>
                <w:bCs/>
                <w:color w:val="0070C0"/>
              </w:rPr>
              <w:t>Tax Savings Calculator (201</w:t>
            </w:r>
            <w:r w:rsidR="006C03FB">
              <w:rPr>
                <w:rFonts w:ascii="Calibri" w:hAnsi="Calibri"/>
                <w:b/>
                <w:bCs/>
                <w:color w:val="0070C0"/>
              </w:rPr>
              <w:t>5</w:t>
            </w:r>
            <w:r w:rsidRPr="003715CA">
              <w:rPr>
                <w:rFonts w:ascii="Calibri" w:hAnsi="Calibri"/>
                <w:b/>
                <w:bCs/>
                <w:color w:val="0070C0"/>
              </w:rPr>
              <w:t>/201</w:t>
            </w:r>
            <w:r w:rsidR="006C03FB">
              <w:rPr>
                <w:rFonts w:ascii="Calibri" w:hAnsi="Calibri"/>
                <w:b/>
                <w:bCs/>
                <w:color w:val="0070C0"/>
              </w:rPr>
              <w:t>6</w:t>
            </w:r>
            <w:r w:rsidRPr="003715CA">
              <w:rPr>
                <w:rFonts w:ascii="Calibri" w:hAnsi="Calibri"/>
                <w:b/>
                <w:bCs/>
                <w:color w:val="0070C0"/>
              </w:rPr>
              <w:t>)</w:t>
            </w: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b/>
                <w:bCs/>
                <w:color w:val="0070C0"/>
              </w:rPr>
            </w:pPr>
            <w:r w:rsidRPr="003715CA">
              <w:rPr>
                <w:rFonts w:ascii="Calibri" w:hAnsi="Calibri"/>
                <w:b/>
                <w:bCs/>
                <w:color w:val="0070C0"/>
              </w:rPr>
              <w:t>Without Salary Packaging</w:t>
            </w: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b/>
                <w:bCs/>
                <w:color w:val="0070C0"/>
              </w:rPr>
            </w:pPr>
            <w:r w:rsidRPr="003715CA">
              <w:rPr>
                <w:rFonts w:ascii="Calibri" w:hAnsi="Calibri"/>
                <w:b/>
                <w:bCs/>
                <w:color w:val="0070C0"/>
              </w:rPr>
              <w:t>With Salary Packaging</w:t>
            </w:r>
          </w:p>
        </w:tc>
      </w:tr>
      <w:tr w:rsidR="003E0F9F" w:rsidRPr="003715CA" w:rsidTr="00041BC1">
        <w:trPr>
          <w:trHeight w:val="130"/>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r>
      <w:tr w:rsidR="003E0F9F" w:rsidRPr="003715CA" w:rsidTr="00041BC1">
        <w:trPr>
          <w:trHeight w:val="244"/>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r>
              <w:rPr>
                <w:rFonts w:ascii="Calibri" w:hAnsi="Calibri"/>
                <w:color w:val="0070C0"/>
              </w:rPr>
              <w:t>Monthly</w:t>
            </w:r>
            <w:r w:rsidRPr="003715CA">
              <w:rPr>
                <w:rFonts w:ascii="Calibri" w:hAnsi="Calibri"/>
                <w:color w:val="0070C0"/>
              </w:rPr>
              <w:t xml:space="preserve"> Salary</w:t>
            </w: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jc w:val="right"/>
              <w:rPr>
                <w:rFonts w:ascii="Calibri" w:hAnsi="Calibri"/>
                <w:color w:val="0070C0"/>
              </w:rPr>
            </w:pPr>
            <w:r>
              <w:rPr>
                <w:rFonts w:ascii="Calibri" w:hAnsi="Calibri"/>
                <w:color w:val="0070C0"/>
              </w:rPr>
              <w:t>$4,250</w:t>
            </w: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jc w:val="right"/>
              <w:rPr>
                <w:rFonts w:ascii="Calibri" w:hAnsi="Calibri"/>
                <w:color w:val="0070C0"/>
              </w:rPr>
            </w:pPr>
            <w:r w:rsidRPr="003715CA">
              <w:rPr>
                <w:rFonts w:ascii="Calibri" w:hAnsi="Calibri"/>
                <w:color w:val="0070C0"/>
              </w:rPr>
              <w:t>$</w:t>
            </w:r>
            <w:r>
              <w:rPr>
                <w:rFonts w:ascii="Calibri" w:hAnsi="Calibri"/>
                <w:color w:val="0070C0"/>
              </w:rPr>
              <w:t>3,250</w:t>
            </w:r>
          </w:p>
        </w:tc>
      </w:tr>
      <w:tr w:rsidR="003E0F9F" w:rsidRPr="003715CA" w:rsidTr="00041BC1">
        <w:trPr>
          <w:trHeight w:val="130"/>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r>
      <w:tr w:rsidR="003E0F9F" w:rsidRPr="003715CA" w:rsidTr="00041BC1">
        <w:trPr>
          <w:trHeight w:val="244"/>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r>
              <w:rPr>
                <w:rFonts w:ascii="Calibri" w:hAnsi="Calibri"/>
                <w:color w:val="0070C0"/>
              </w:rPr>
              <w:t>Monthly PAYG Withholding</w:t>
            </w: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88396C" w:rsidP="00B82048">
            <w:pPr>
              <w:spacing w:before="0" w:line="240" w:lineRule="auto"/>
              <w:jc w:val="right"/>
              <w:rPr>
                <w:rFonts w:ascii="Calibri" w:hAnsi="Calibri"/>
                <w:color w:val="0070C0"/>
              </w:rPr>
            </w:pPr>
            <w:r>
              <w:rPr>
                <w:rFonts w:ascii="Calibri" w:hAnsi="Calibri"/>
                <w:color w:val="0070C0"/>
              </w:rPr>
              <w:t>(</w:t>
            </w:r>
            <w:r w:rsidR="003E0F9F">
              <w:rPr>
                <w:rFonts w:ascii="Calibri" w:hAnsi="Calibri"/>
                <w:color w:val="0070C0"/>
              </w:rPr>
              <w:t>$</w:t>
            </w:r>
            <w:r w:rsidR="00B82048">
              <w:rPr>
                <w:rFonts w:ascii="Calibri" w:hAnsi="Calibri"/>
                <w:color w:val="0070C0"/>
              </w:rPr>
              <w:t>763</w:t>
            </w:r>
            <w:r>
              <w:rPr>
                <w:rFonts w:ascii="Calibri" w:hAnsi="Calibri"/>
                <w:color w:val="0070C0"/>
              </w:rPr>
              <w:t>)</w:t>
            </w:r>
          </w:p>
        </w:tc>
        <w:tc>
          <w:tcPr>
            <w:tcW w:w="2533" w:type="dxa"/>
            <w:tcBorders>
              <w:top w:val="nil"/>
              <w:left w:val="nil"/>
              <w:bottom w:val="nil"/>
              <w:right w:val="nil"/>
            </w:tcBorders>
            <w:shd w:val="clear" w:color="auto" w:fill="auto"/>
            <w:noWrap/>
            <w:vAlign w:val="bottom"/>
            <w:hideMark/>
          </w:tcPr>
          <w:p w:rsidR="003E0F9F" w:rsidRPr="003715CA" w:rsidRDefault="0088396C" w:rsidP="00B82048">
            <w:pPr>
              <w:spacing w:before="0" w:line="240" w:lineRule="auto"/>
              <w:jc w:val="right"/>
              <w:rPr>
                <w:rFonts w:ascii="Calibri" w:hAnsi="Calibri"/>
                <w:color w:val="0070C0"/>
              </w:rPr>
            </w:pPr>
            <w:r>
              <w:rPr>
                <w:rFonts w:ascii="Calibri" w:hAnsi="Calibri"/>
                <w:color w:val="0070C0"/>
              </w:rPr>
              <w:t>(</w:t>
            </w:r>
            <w:r w:rsidR="003E0F9F">
              <w:rPr>
                <w:rFonts w:ascii="Calibri" w:hAnsi="Calibri"/>
                <w:color w:val="0070C0"/>
              </w:rPr>
              <w:t>$</w:t>
            </w:r>
            <w:r w:rsidR="00B82048">
              <w:rPr>
                <w:rFonts w:ascii="Calibri" w:hAnsi="Calibri"/>
                <w:color w:val="0070C0"/>
              </w:rPr>
              <w:t>416</w:t>
            </w:r>
            <w:r>
              <w:rPr>
                <w:rFonts w:ascii="Calibri" w:hAnsi="Calibri"/>
                <w:color w:val="0070C0"/>
              </w:rPr>
              <w:t>)</w:t>
            </w:r>
          </w:p>
        </w:tc>
      </w:tr>
      <w:tr w:rsidR="003E0F9F" w:rsidRPr="003715CA" w:rsidTr="00041BC1">
        <w:trPr>
          <w:trHeight w:val="130"/>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r>
      <w:tr w:rsidR="003E0F9F" w:rsidRPr="003715CA" w:rsidTr="00041BC1">
        <w:trPr>
          <w:trHeight w:val="244"/>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r>
              <w:rPr>
                <w:rFonts w:ascii="Calibri" w:hAnsi="Calibri"/>
                <w:color w:val="0070C0"/>
              </w:rPr>
              <w:t>Fringe Benefits Tax</w:t>
            </w: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jc w:val="right"/>
              <w:rPr>
                <w:rFonts w:ascii="Calibri" w:hAnsi="Calibri"/>
                <w:color w:val="0070C0"/>
              </w:rPr>
            </w:pPr>
            <w:r w:rsidRPr="003715CA">
              <w:rPr>
                <w:rFonts w:ascii="Calibri" w:hAnsi="Calibri"/>
                <w:color w:val="0070C0"/>
              </w:rPr>
              <w:t>$</w:t>
            </w:r>
            <w:r>
              <w:rPr>
                <w:rFonts w:ascii="Calibri" w:hAnsi="Calibri"/>
                <w:color w:val="0070C0"/>
              </w:rPr>
              <w:t>0</w:t>
            </w: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jc w:val="right"/>
              <w:rPr>
                <w:rFonts w:ascii="Calibri" w:hAnsi="Calibri"/>
                <w:color w:val="0070C0"/>
              </w:rPr>
            </w:pPr>
            <w:r w:rsidRPr="003715CA">
              <w:rPr>
                <w:rFonts w:ascii="Calibri" w:hAnsi="Calibri"/>
                <w:color w:val="0070C0"/>
              </w:rPr>
              <w:t>$</w:t>
            </w:r>
            <w:r>
              <w:rPr>
                <w:rFonts w:ascii="Calibri" w:hAnsi="Calibri"/>
                <w:color w:val="0070C0"/>
              </w:rPr>
              <w:t>0</w:t>
            </w:r>
          </w:p>
        </w:tc>
      </w:tr>
      <w:tr w:rsidR="003E0F9F" w:rsidRPr="003715CA" w:rsidTr="00041BC1">
        <w:trPr>
          <w:trHeight w:val="130"/>
        </w:trPr>
        <w:tc>
          <w:tcPr>
            <w:tcW w:w="3303" w:type="dxa"/>
            <w:tcBorders>
              <w:top w:val="nil"/>
              <w:left w:val="nil"/>
              <w:bottom w:val="nil"/>
              <w:right w:val="nil"/>
            </w:tcBorders>
            <w:shd w:val="clear" w:color="auto" w:fill="auto"/>
            <w:noWrap/>
            <w:vAlign w:val="bottom"/>
          </w:tcPr>
          <w:p w:rsidR="003E0F9F" w:rsidRPr="003715CA" w:rsidRDefault="003E0F9F" w:rsidP="00FC3AE3">
            <w:pPr>
              <w:spacing w:before="0" w:line="240" w:lineRule="auto"/>
              <w:rPr>
                <w:rFonts w:ascii="Calibri" w:hAnsi="Calibri"/>
                <w:color w:val="0070C0"/>
              </w:rPr>
            </w:pPr>
          </w:p>
        </w:tc>
        <w:tc>
          <w:tcPr>
            <w:tcW w:w="491" w:type="dxa"/>
            <w:tcBorders>
              <w:top w:val="nil"/>
              <w:left w:val="nil"/>
              <w:bottom w:val="nil"/>
              <w:right w:val="nil"/>
            </w:tcBorders>
            <w:shd w:val="clear" w:color="auto" w:fill="auto"/>
            <w:noWrap/>
            <w:vAlign w:val="bottom"/>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tcPr>
          <w:p w:rsidR="003E0F9F" w:rsidRPr="003715CA" w:rsidRDefault="003E0F9F" w:rsidP="00FC3AE3">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tcPr>
          <w:p w:rsidR="003E0F9F" w:rsidRPr="003715CA" w:rsidRDefault="003E0F9F" w:rsidP="00FC3AE3">
            <w:pPr>
              <w:spacing w:before="0" w:line="240" w:lineRule="auto"/>
              <w:rPr>
                <w:rFonts w:ascii="Calibri" w:hAnsi="Calibri"/>
                <w:color w:val="0070C0"/>
              </w:rPr>
            </w:pPr>
          </w:p>
        </w:tc>
      </w:tr>
      <w:tr w:rsidR="003E0F9F" w:rsidRPr="003715CA" w:rsidTr="00041BC1">
        <w:trPr>
          <w:trHeight w:val="244"/>
        </w:trPr>
        <w:tc>
          <w:tcPr>
            <w:tcW w:w="3303" w:type="dxa"/>
            <w:tcBorders>
              <w:top w:val="nil"/>
              <w:left w:val="nil"/>
              <w:bottom w:val="nil"/>
              <w:right w:val="nil"/>
            </w:tcBorders>
            <w:shd w:val="clear" w:color="auto" w:fill="auto"/>
            <w:noWrap/>
            <w:vAlign w:val="bottom"/>
          </w:tcPr>
          <w:p w:rsidR="003E0F9F" w:rsidRPr="003715CA" w:rsidRDefault="003E0F9F" w:rsidP="00FC3AE3">
            <w:pPr>
              <w:spacing w:before="0" w:line="240" w:lineRule="auto"/>
              <w:rPr>
                <w:rFonts w:ascii="Calibri" w:hAnsi="Calibri"/>
                <w:color w:val="0070C0"/>
              </w:rPr>
            </w:pPr>
            <w:r>
              <w:rPr>
                <w:rFonts w:ascii="Calibri" w:hAnsi="Calibri"/>
                <w:color w:val="0070C0"/>
              </w:rPr>
              <w:t>Expense Payment Fringe Benefit</w:t>
            </w:r>
          </w:p>
        </w:tc>
        <w:tc>
          <w:tcPr>
            <w:tcW w:w="491" w:type="dxa"/>
            <w:tcBorders>
              <w:top w:val="nil"/>
              <w:left w:val="nil"/>
              <w:bottom w:val="nil"/>
              <w:right w:val="nil"/>
            </w:tcBorders>
            <w:shd w:val="clear" w:color="auto" w:fill="auto"/>
            <w:noWrap/>
            <w:vAlign w:val="bottom"/>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tcPr>
          <w:p w:rsidR="003E0F9F" w:rsidRPr="003715CA" w:rsidRDefault="003E0F9F" w:rsidP="00FC3AE3">
            <w:pPr>
              <w:spacing w:before="0" w:line="240" w:lineRule="auto"/>
              <w:jc w:val="right"/>
              <w:rPr>
                <w:rFonts w:ascii="Calibri" w:hAnsi="Calibri"/>
                <w:color w:val="0070C0"/>
              </w:rPr>
            </w:pPr>
            <w:r>
              <w:rPr>
                <w:rFonts w:ascii="Calibri" w:hAnsi="Calibri"/>
                <w:color w:val="0070C0"/>
              </w:rPr>
              <w:t>$0</w:t>
            </w:r>
          </w:p>
        </w:tc>
        <w:tc>
          <w:tcPr>
            <w:tcW w:w="2533" w:type="dxa"/>
            <w:tcBorders>
              <w:top w:val="nil"/>
              <w:left w:val="nil"/>
              <w:bottom w:val="nil"/>
              <w:right w:val="nil"/>
            </w:tcBorders>
            <w:shd w:val="clear" w:color="auto" w:fill="auto"/>
            <w:noWrap/>
            <w:vAlign w:val="bottom"/>
          </w:tcPr>
          <w:p w:rsidR="003E0F9F" w:rsidRPr="003715CA" w:rsidRDefault="003E0F9F" w:rsidP="00FC3AE3">
            <w:pPr>
              <w:spacing w:before="0" w:line="240" w:lineRule="auto"/>
              <w:jc w:val="right"/>
              <w:rPr>
                <w:rFonts w:ascii="Calibri" w:hAnsi="Calibri"/>
                <w:color w:val="0070C0"/>
              </w:rPr>
            </w:pPr>
            <w:r>
              <w:rPr>
                <w:rFonts w:ascii="Calibri" w:hAnsi="Calibri"/>
                <w:color w:val="0070C0"/>
              </w:rPr>
              <w:t>$1,000</w:t>
            </w:r>
          </w:p>
        </w:tc>
      </w:tr>
      <w:tr w:rsidR="003E0F9F" w:rsidRPr="003715CA" w:rsidTr="00041BC1">
        <w:trPr>
          <w:trHeight w:val="130"/>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r>
      <w:tr w:rsidR="003E0F9F" w:rsidRPr="003E0F9F" w:rsidTr="00041BC1">
        <w:trPr>
          <w:trHeight w:val="244"/>
        </w:trPr>
        <w:tc>
          <w:tcPr>
            <w:tcW w:w="3794" w:type="dxa"/>
            <w:gridSpan w:val="2"/>
            <w:tcBorders>
              <w:top w:val="nil"/>
              <w:left w:val="nil"/>
              <w:bottom w:val="nil"/>
              <w:right w:val="nil"/>
            </w:tcBorders>
            <w:shd w:val="clear" w:color="auto" w:fill="auto"/>
            <w:noWrap/>
            <w:vAlign w:val="bottom"/>
            <w:hideMark/>
          </w:tcPr>
          <w:p w:rsidR="003E0F9F" w:rsidRPr="003E0F9F" w:rsidRDefault="003E0F9F" w:rsidP="00FC3AE3">
            <w:pPr>
              <w:spacing w:before="0" w:line="240" w:lineRule="auto"/>
              <w:rPr>
                <w:rFonts w:ascii="Calibri" w:hAnsi="Calibri"/>
                <w:b/>
                <w:color w:val="0070C0"/>
              </w:rPr>
            </w:pPr>
            <w:r w:rsidRPr="003E0F9F">
              <w:rPr>
                <w:rFonts w:ascii="Calibri" w:hAnsi="Calibri"/>
                <w:b/>
                <w:color w:val="0070C0"/>
              </w:rPr>
              <w:t>Monthly Surplus Cash</w:t>
            </w:r>
          </w:p>
        </w:tc>
        <w:tc>
          <w:tcPr>
            <w:tcW w:w="2320" w:type="dxa"/>
            <w:tcBorders>
              <w:top w:val="nil"/>
              <w:left w:val="nil"/>
              <w:bottom w:val="nil"/>
              <w:right w:val="nil"/>
            </w:tcBorders>
            <w:shd w:val="clear" w:color="auto" w:fill="auto"/>
            <w:noWrap/>
            <w:vAlign w:val="bottom"/>
            <w:hideMark/>
          </w:tcPr>
          <w:p w:rsidR="003E0F9F" w:rsidRPr="003E0F9F" w:rsidRDefault="003E0F9F" w:rsidP="00FC3AE3">
            <w:pPr>
              <w:spacing w:before="0" w:line="240" w:lineRule="auto"/>
              <w:jc w:val="right"/>
              <w:rPr>
                <w:rFonts w:ascii="Calibri" w:hAnsi="Calibri"/>
                <w:b/>
                <w:color w:val="0070C0"/>
              </w:rPr>
            </w:pPr>
          </w:p>
        </w:tc>
        <w:tc>
          <w:tcPr>
            <w:tcW w:w="2533" w:type="dxa"/>
            <w:tcBorders>
              <w:top w:val="nil"/>
              <w:left w:val="nil"/>
              <w:bottom w:val="nil"/>
              <w:right w:val="nil"/>
            </w:tcBorders>
            <w:shd w:val="clear" w:color="auto" w:fill="auto"/>
            <w:noWrap/>
            <w:vAlign w:val="bottom"/>
            <w:hideMark/>
          </w:tcPr>
          <w:p w:rsidR="003E0F9F" w:rsidRPr="003E0F9F" w:rsidRDefault="003E0F9F" w:rsidP="00B82048">
            <w:pPr>
              <w:spacing w:before="0" w:line="240" w:lineRule="auto"/>
              <w:jc w:val="right"/>
              <w:rPr>
                <w:rFonts w:ascii="Calibri" w:hAnsi="Calibri"/>
                <w:b/>
                <w:color w:val="0070C0"/>
              </w:rPr>
            </w:pPr>
            <w:r w:rsidRPr="003E0F9F">
              <w:rPr>
                <w:rFonts w:ascii="Calibri" w:hAnsi="Calibri"/>
                <w:b/>
                <w:color w:val="0070C0"/>
              </w:rPr>
              <w:t>$34</w:t>
            </w:r>
            <w:r w:rsidR="00B82048">
              <w:rPr>
                <w:rFonts w:ascii="Calibri" w:hAnsi="Calibri"/>
                <w:b/>
                <w:color w:val="0070C0"/>
              </w:rPr>
              <w:t>7</w:t>
            </w:r>
          </w:p>
        </w:tc>
      </w:tr>
      <w:tr w:rsidR="003E0F9F" w:rsidRPr="003715CA" w:rsidTr="00041BC1">
        <w:trPr>
          <w:trHeight w:val="130"/>
        </w:trPr>
        <w:tc>
          <w:tcPr>
            <w:tcW w:w="330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491"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320"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E0F9F" w:rsidRPr="003715CA" w:rsidRDefault="003E0F9F" w:rsidP="00FC3AE3">
            <w:pPr>
              <w:spacing w:before="0" w:line="240" w:lineRule="auto"/>
              <w:rPr>
                <w:rFonts w:ascii="Calibri" w:hAnsi="Calibri"/>
                <w:color w:val="0070C0"/>
              </w:rPr>
            </w:pPr>
          </w:p>
        </w:tc>
      </w:tr>
      <w:tr w:rsidR="003E0F9F" w:rsidRPr="00FC3AE3" w:rsidTr="00041BC1">
        <w:trPr>
          <w:trHeight w:val="244"/>
        </w:trPr>
        <w:tc>
          <w:tcPr>
            <w:tcW w:w="3794" w:type="dxa"/>
            <w:gridSpan w:val="2"/>
            <w:tcBorders>
              <w:top w:val="nil"/>
              <w:left w:val="nil"/>
              <w:bottom w:val="nil"/>
              <w:right w:val="nil"/>
            </w:tcBorders>
            <w:shd w:val="clear" w:color="auto" w:fill="auto"/>
            <w:noWrap/>
            <w:vAlign w:val="bottom"/>
            <w:hideMark/>
          </w:tcPr>
          <w:p w:rsidR="00646F05" w:rsidRPr="00FC3AE3" w:rsidRDefault="00FC3AE3" w:rsidP="00041BC1">
            <w:pPr>
              <w:spacing w:before="0" w:line="240" w:lineRule="auto"/>
              <w:rPr>
                <w:rFonts w:ascii="Calibri" w:hAnsi="Calibri"/>
                <w:bCs/>
                <w:color w:val="0070C0"/>
              </w:rPr>
            </w:pPr>
            <w:r w:rsidRPr="00646F05">
              <w:rPr>
                <w:rFonts w:ascii="Calibri" w:hAnsi="Calibri"/>
                <w:b/>
                <w:bCs/>
                <w:color w:val="0070C0"/>
              </w:rPr>
              <w:t>Reconciliation</w:t>
            </w:r>
            <w:r>
              <w:rPr>
                <w:rFonts w:ascii="Calibri" w:hAnsi="Calibri"/>
                <w:bCs/>
                <w:color w:val="0070C0"/>
              </w:rPr>
              <w:t xml:space="preserve"> - </w:t>
            </w:r>
            <w:r w:rsidRPr="00FC3AE3">
              <w:rPr>
                <w:rFonts w:ascii="Calibri" w:hAnsi="Calibri"/>
                <w:bCs/>
                <w:color w:val="0070C0"/>
              </w:rPr>
              <w:t>Refund a</w:t>
            </w:r>
            <w:r w:rsidR="00646F05">
              <w:rPr>
                <w:rFonts w:ascii="Calibri" w:hAnsi="Calibri"/>
                <w:bCs/>
                <w:color w:val="0070C0"/>
              </w:rPr>
              <w:t xml:space="preserve">fter </w:t>
            </w:r>
            <w:r w:rsidR="00041BC1">
              <w:rPr>
                <w:rFonts w:ascii="Calibri" w:hAnsi="Calibri"/>
                <w:bCs/>
                <w:color w:val="0070C0"/>
              </w:rPr>
              <w:t xml:space="preserve">yearly </w:t>
            </w:r>
            <w:r w:rsidR="00646F05">
              <w:rPr>
                <w:rFonts w:ascii="Calibri" w:hAnsi="Calibri"/>
                <w:bCs/>
                <w:color w:val="0070C0"/>
              </w:rPr>
              <w:t xml:space="preserve">tax return </w:t>
            </w:r>
            <w:r w:rsidR="00041BC1">
              <w:rPr>
                <w:rFonts w:ascii="Calibri" w:hAnsi="Calibri"/>
                <w:bCs/>
                <w:color w:val="0070C0"/>
              </w:rPr>
              <w:t xml:space="preserve">lodged </w:t>
            </w:r>
            <w:r w:rsidR="00646F05">
              <w:rPr>
                <w:rFonts w:ascii="Calibri" w:hAnsi="Calibri"/>
                <w:bCs/>
                <w:color w:val="0070C0"/>
              </w:rPr>
              <w:t>($4,569 = $405 + (</w:t>
            </w:r>
            <w:r w:rsidR="00041BC1">
              <w:rPr>
                <w:rFonts w:ascii="Calibri" w:hAnsi="Calibri"/>
                <w:bCs/>
                <w:color w:val="0070C0"/>
              </w:rPr>
              <w:t xml:space="preserve">12 </w:t>
            </w:r>
            <w:r w:rsidR="00646F05">
              <w:rPr>
                <w:rFonts w:ascii="Calibri" w:hAnsi="Calibri"/>
                <w:bCs/>
                <w:color w:val="0070C0"/>
              </w:rPr>
              <w:t>*</w:t>
            </w:r>
            <w:r w:rsidR="00041BC1">
              <w:rPr>
                <w:rFonts w:ascii="Calibri" w:hAnsi="Calibri"/>
                <w:bCs/>
                <w:color w:val="0070C0"/>
              </w:rPr>
              <w:t xml:space="preserve"> </w:t>
            </w:r>
            <w:r w:rsidR="00646F05">
              <w:rPr>
                <w:rFonts w:ascii="Calibri" w:hAnsi="Calibri"/>
                <w:bCs/>
                <w:color w:val="0070C0"/>
              </w:rPr>
              <w:t>$347))</w:t>
            </w:r>
          </w:p>
        </w:tc>
        <w:tc>
          <w:tcPr>
            <w:tcW w:w="2320" w:type="dxa"/>
            <w:tcBorders>
              <w:top w:val="nil"/>
              <w:left w:val="nil"/>
              <w:bottom w:val="nil"/>
              <w:right w:val="nil"/>
            </w:tcBorders>
            <w:shd w:val="clear" w:color="auto" w:fill="auto"/>
            <w:noWrap/>
            <w:vAlign w:val="bottom"/>
            <w:hideMark/>
          </w:tcPr>
          <w:p w:rsidR="003E0F9F" w:rsidRPr="00FC3AE3" w:rsidRDefault="00FC3AE3" w:rsidP="00646F05">
            <w:pPr>
              <w:spacing w:before="0" w:line="240" w:lineRule="auto"/>
              <w:jc w:val="right"/>
              <w:rPr>
                <w:rFonts w:ascii="Calibri" w:hAnsi="Calibri"/>
                <w:color w:val="0070C0"/>
              </w:rPr>
            </w:pPr>
            <w:r>
              <w:rPr>
                <w:rFonts w:ascii="Calibri" w:hAnsi="Calibri"/>
                <w:color w:val="0070C0"/>
              </w:rPr>
              <w:t>$</w:t>
            </w:r>
            <w:r w:rsidR="00646F05">
              <w:rPr>
                <w:rFonts w:ascii="Calibri" w:hAnsi="Calibri"/>
                <w:color w:val="0070C0"/>
              </w:rPr>
              <w:t>4,569</w:t>
            </w:r>
          </w:p>
        </w:tc>
        <w:tc>
          <w:tcPr>
            <w:tcW w:w="2533" w:type="dxa"/>
            <w:tcBorders>
              <w:top w:val="nil"/>
              <w:left w:val="nil"/>
              <w:bottom w:val="nil"/>
              <w:right w:val="nil"/>
            </w:tcBorders>
            <w:shd w:val="clear" w:color="auto" w:fill="auto"/>
            <w:noWrap/>
            <w:vAlign w:val="bottom"/>
            <w:hideMark/>
          </w:tcPr>
          <w:p w:rsidR="003E0F9F" w:rsidRPr="00646F05" w:rsidRDefault="003E0F9F" w:rsidP="00646F05">
            <w:pPr>
              <w:spacing w:before="0" w:line="240" w:lineRule="auto"/>
              <w:jc w:val="right"/>
              <w:rPr>
                <w:rFonts w:ascii="Calibri" w:hAnsi="Calibri"/>
                <w:bCs/>
                <w:color w:val="0070C0"/>
              </w:rPr>
            </w:pPr>
            <w:r w:rsidRPr="00646F05">
              <w:rPr>
                <w:rFonts w:ascii="Calibri" w:hAnsi="Calibri"/>
                <w:bCs/>
                <w:color w:val="0070C0"/>
              </w:rPr>
              <w:t>$</w:t>
            </w:r>
            <w:r w:rsidR="00646F05" w:rsidRPr="00646F05">
              <w:rPr>
                <w:rFonts w:ascii="Calibri" w:hAnsi="Calibri"/>
                <w:bCs/>
                <w:color w:val="0070C0"/>
              </w:rPr>
              <w:t>405</w:t>
            </w:r>
          </w:p>
        </w:tc>
      </w:tr>
    </w:tbl>
    <w:p w:rsidR="003E0F9F" w:rsidRDefault="00FC3AE3" w:rsidP="003E0F9F">
      <w:r>
        <w:br w:type="textWrapping" w:clear="all"/>
      </w:r>
    </w:p>
    <w:p w:rsidR="00EC5653" w:rsidRDefault="00504D59" w:rsidP="005A29A3">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9414AF" w:rsidRPr="00EC5653">
        <w:rPr>
          <w:b/>
          <w:color w:val="0070C0"/>
        </w:rPr>
        <w:t xml:space="preserve">the otherwise deductible rule </w:t>
      </w:r>
      <w:r w:rsidR="00071BC2" w:rsidRPr="00EC5653">
        <w:rPr>
          <w:b/>
          <w:color w:val="0070C0"/>
        </w:rPr>
        <w:t xml:space="preserve">can </w:t>
      </w:r>
      <w:r w:rsidR="009414AF" w:rsidRPr="00EC5653">
        <w:rPr>
          <w:b/>
          <w:color w:val="0070C0"/>
        </w:rPr>
        <w:t xml:space="preserve">make it beneficial for an employer to provide an employee with a fringe benefit </w:t>
      </w:r>
      <w:r w:rsidR="00071BC2" w:rsidRPr="00EC5653">
        <w:rPr>
          <w:b/>
          <w:color w:val="0070C0"/>
        </w:rPr>
        <w:t>that is not exempt from FBT where</w:t>
      </w:r>
      <w:r w:rsidR="009414AF" w:rsidRPr="00EC5653">
        <w:rPr>
          <w:b/>
          <w:color w:val="0070C0"/>
        </w:rPr>
        <w:t xml:space="preserve"> that employee would </w:t>
      </w:r>
      <w:r w:rsidR="00071BC2" w:rsidRPr="00EC5653">
        <w:rPr>
          <w:b/>
          <w:color w:val="0070C0"/>
        </w:rPr>
        <w:t>have been</w:t>
      </w:r>
      <w:r w:rsidR="009414AF" w:rsidRPr="00EC5653">
        <w:rPr>
          <w:b/>
          <w:color w:val="0070C0"/>
        </w:rPr>
        <w:t xml:space="preserve"> en</w:t>
      </w:r>
      <w:r w:rsidR="00071BC2" w:rsidRPr="00EC5653">
        <w:rPr>
          <w:b/>
          <w:color w:val="0070C0"/>
        </w:rPr>
        <w:t>titled to claim a tax deduction in respect of the benefit</w:t>
      </w:r>
      <w:r w:rsidR="00DE7C6D" w:rsidRPr="00EC5653">
        <w:rPr>
          <w:b/>
          <w:color w:val="0070C0"/>
        </w:rPr>
        <w:t>.</w:t>
      </w:r>
    </w:p>
    <w:p w:rsidR="0071265D" w:rsidRPr="00504D59" w:rsidRDefault="00B02234" w:rsidP="00DE7C6D">
      <w:pPr>
        <w:pStyle w:val="AllensHeading2"/>
      </w:pPr>
      <w:bookmarkStart w:id="21" w:name="_Ref411754153"/>
      <w:bookmarkStart w:id="22" w:name="_Toc437947573"/>
      <w:r w:rsidRPr="00504D59">
        <w:lastRenderedPageBreak/>
        <w:t>Twelve</w:t>
      </w:r>
      <w:r w:rsidR="00822440" w:rsidRPr="00504D59">
        <w:t xml:space="preserve"> categories of fringe benefits</w:t>
      </w:r>
      <w:bookmarkEnd w:id="21"/>
      <w:bookmarkEnd w:id="22"/>
    </w:p>
    <w:p w:rsidR="003E22DA" w:rsidRDefault="003E22DA" w:rsidP="00DE7C6D">
      <w:pPr>
        <w:ind w:left="709"/>
      </w:pPr>
      <w:r>
        <w:t xml:space="preserve">There is virtually no limit to the types </w:t>
      </w:r>
      <w:r w:rsidR="00B02234">
        <w:t xml:space="preserve">of </w:t>
      </w:r>
      <w:r>
        <w:t xml:space="preserve">benefits that an employer can provide to an employee. However, the </w:t>
      </w:r>
      <w:r w:rsidR="00822440">
        <w:t>f</w:t>
      </w:r>
      <w:r>
        <w:t xml:space="preserve">ringe </w:t>
      </w:r>
      <w:r w:rsidR="00822440">
        <w:t>benefits t</w:t>
      </w:r>
      <w:r>
        <w:t xml:space="preserve">ax </w:t>
      </w:r>
      <w:r w:rsidR="00822440">
        <w:t xml:space="preserve">legislation lists </w:t>
      </w:r>
      <w:r>
        <w:t>1</w:t>
      </w:r>
      <w:r w:rsidR="00B02234">
        <w:t>2</w:t>
      </w:r>
      <w:r>
        <w:t xml:space="preserve"> different categories of benefits</w:t>
      </w:r>
      <w:r w:rsidR="00822440">
        <w:t>. The</w:t>
      </w:r>
      <w:r>
        <w:t xml:space="preserve"> category into which a benefit falls will determine how the value of that benefit is calculated for </w:t>
      </w:r>
      <w:r w:rsidR="005843B5">
        <w:t>FBT</w:t>
      </w:r>
      <w:r>
        <w:t xml:space="preserve"> purposes</w:t>
      </w:r>
      <w:r w:rsidR="00A06C30">
        <w:t xml:space="preserve"> (</w:t>
      </w:r>
      <w:r w:rsidR="005843B5" w:rsidRPr="0053638F">
        <w:rPr>
          <w:i/>
        </w:rPr>
        <w:t xml:space="preserve">see </w:t>
      </w:r>
      <w:fldSimple w:instr=" REF _Ref411756523 \r \h  \* MERGEFORMAT ">
        <w:r w:rsidR="000419E4">
          <w:rPr>
            <w:i/>
          </w:rPr>
          <w:t>Schedule 1</w:t>
        </w:r>
      </w:fldSimple>
      <w:r w:rsidR="005843B5">
        <w:t xml:space="preserve"> f</w:t>
      </w:r>
      <w:r w:rsidR="00A06C30">
        <w:t>or more detail regarding the different types of fringe benefits and how they are valued)</w:t>
      </w:r>
      <w:r>
        <w:t xml:space="preserve">. The </w:t>
      </w:r>
      <w:r w:rsidR="00822440">
        <w:t>1</w:t>
      </w:r>
      <w:r w:rsidR="00C756C5">
        <w:t>2</w:t>
      </w:r>
      <w:r w:rsidR="00822440">
        <w:t xml:space="preserve"> categories </w:t>
      </w:r>
      <w:r w:rsidR="0060035A">
        <w:t xml:space="preserve">of fringe benefits can be described </w:t>
      </w:r>
      <w:r w:rsidR="00686D23">
        <w:t xml:space="preserve">briefly </w:t>
      </w:r>
      <w:r w:rsidR="0060035A">
        <w:t>as follows</w:t>
      </w:r>
      <w:r>
        <w:t>:</w:t>
      </w:r>
    </w:p>
    <w:p w:rsidR="003E22DA" w:rsidRDefault="003E22DA" w:rsidP="00DE7C6D">
      <w:pPr>
        <w:pStyle w:val="Bullet2"/>
      </w:pPr>
      <w:r w:rsidRPr="00B02234">
        <w:rPr>
          <w:b/>
        </w:rPr>
        <w:t>car benefits</w:t>
      </w:r>
      <w:r w:rsidR="0060035A">
        <w:t xml:space="preserve"> – the employer </w:t>
      </w:r>
      <w:r w:rsidR="004C5ADF">
        <w:t>h</w:t>
      </w:r>
      <w:r w:rsidR="00FB6047">
        <w:t>as</w:t>
      </w:r>
      <w:r w:rsidR="004C5ADF">
        <w:t xml:space="preserve"> a car that it </w:t>
      </w:r>
      <w:r w:rsidR="0060035A">
        <w:t>makes available to the employee for private use</w:t>
      </w:r>
      <w:r w:rsidR="007E4F6B">
        <w:t xml:space="preserve"> (including </w:t>
      </w:r>
      <w:r w:rsidR="004C5ADF">
        <w:t xml:space="preserve">pursuant to </w:t>
      </w:r>
      <w:r w:rsidR="007E4F6B">
        <w:t>a novated car lease)</w:t>
      </w:r>
      <w:r>
        <w:t>;</w:t>
      </w:r>
    </w:p>
    <w:p w:rsidR="003E22DA" w:rsidRDefault="003E22DA" w:rsidP="00DE7C6D">
      <w:pPr>
        <w:pStyle w:val="Bullet2"/>
      </w:pPr>
      <w:r w:rsidRPr="00B02234">
        <w:rPr>
          <w:b/>
        </w:rPr>
        <w:t>car parking benefits</w:t>
      </w:r>
      <w:r w:rsidR="0060035A">
        <w:t xml:space="preserve"> </w:t>
      </w:r>
      <w:r w:rsidR="00026E4B">
        <w:t>–</w:t>
      </w:r>
      <w:r w:rsidR="0060035A">
        <w:t xml:space="preserve"> </w:t>
      </w:r>
      <w:r w:rsidR="00026E4B">
        <w:t xml:space="preserve">the employer provides the employee with car parking </w:t>
      </w:r>
      <w:r w:rsidR="00E24798">
        <w:t xml:space="preserve">in the vicinity of the employee's place of employment </w:t>
      </w:r>
      <w:r w:rsidR="00026E4B">
        <w:t xml:space="preserve">and there is a commercial parking station available for all-day parking within a one-kilometre radius of the premises on which the car is parked </w:t>
      </w:r>
      <w:r w:rsidR="00FB6047">
        <w:t>(</w:t>
      </w:r>
      <w:r w:rsidR="00026E4B">
        <w:t xml:space="preserve">and that station charges a fee for all-day parking that </w:t>
      </w:r>
      <w:r w:rsidR="00FB6047">
        <w:t>exceeds</w:t>
      </w:r>
      <w:r w:rsidR="00026E4B">
        <w:t xml:space="preserve"> a specific car parking threshold published </w:t>
      </w:r>
      <w:r w:rsidR="00FB6047">
        <w:t>yearly)</w:t>
      </w:r>
      <w:r>
        <w:t>;</w:t>
      </w:r>
    </w:p>
    <w:p w:rsidR="003E22DA" w:rsidRDefault="003E22DA" w:rsidP="00DE7C6D">
      <w:pPr>
        <w:pStyle w:val="Bullet2"/>
      </w:pPr>
      <w:r w:rsidRPr="00B02234">
        <w:rPr>
          <w:b/>
        </w:rPr>
        <w:t>debt waiver benefits</w:t>
      </w:r>
      <w:r w:rsidR="0060035A">
        <w:t xml:space="preserve"> – the employer </w:t>
      </w:r>
      <w:r w:rsidR="0060035A" w:rsidRPr="0060035A">
        <w:t>waive</w:t>
      </w:r>
      <w:r w:rsidR="0060035A">
        <w:t>s</w:t>
      </w:r>
      <w:r w:rsidR="0060035A" w:rsidRPr="0060035A">
        <w:t xml:space="preserve"> or forgive</w:t>
      </w:r>
      <w:r w:rsidR="0060035A">
        <w:t>s</w:t>
      </w:r>
      <w:r w:rsidR="0060035A" w:rsidRPr="0060035A">
        <w:t xml:space="preserve"> an employee's debt</w:t>
      </w:r>
      <w:r>
        <w:t>;</w:t>
      </w:r>
    </w:p>
    <w:p w:rsidR="003E22DA" w:rsidRDefault="003E22DA" w:rsidP="00DE7C6D">
      <w:pPr>
        <w:pStyle w:val="Bullet2"/>
      </w:pPr>
      <w:r w:rsidRPr="00B02234">
        <w:rPr>
          <w:b/>
        </w:rPr>
        <w:t>loan benefits</w:t>
      </w:r>
      <w:r w:rsidR="0060035A">
        <w:t xml:space="preserve"> – the employer provides the employee with a loan having </w:t>
      </w:r>
      <w:r w:rsidR="007E4F6B">
        <w:t xml:space="preserve">a rate of </w:t>
      </w:r>
      <w:r w:rsidR="0060035A">
        <w:t>interest</w:t>
      </w:r>
      <w:r w:rsidR="007E4F6B">
        <w:t xml:space="preserve"> less than a statutory minimum (including a no interest loan)</w:t>
      </w:r>
      <w:r>
        <w:t>;</w:t>
      </w:r>
    </w:p>
    <w:p w:rsidR="003E22DA" w:rsidRDefault="003E22DA" w:rsidP="00DE7C6D">
      <w:pPr>
        <w:pStyle w:val="Bullet2"/>
      </w:pPr>
      <w:r w:rsidRPr="00B02234">
        <w:rPr>
          <w:b/>
        </w:rPr>
        <w:t>expense payment benefits</w:t>
      </w:r>
      <w:r w:rsidR="0060035A">
        <w:t xml:space="preserve"> </w:t>
      </w:r>
      <w:r w:rsidR="007E4F6B">
        <w:t>–</w:t>
      </w:r>
      <w:r w:rsidR="0060035A">
        <w:t xml:space="preserve"> </w:t>
      </w:r>
      <w:r w:rsidR="007E4F6B">
        <w:t>the employer reimburses an employee, or pays a third party, for expenses incurred by that employee</w:t>
      </w:r>
      <w:r>
        <w:t>;</w:t>
      </w:r>
    </w:p>
    <w:p w:rsidR="00191512" w:rsidRPr="00191512" w:rsidRDefault="00191512" w:rsidP="00191512">
      <w:pPr>
        <w:pStyle w:val="Bullet2"/>
      </w:pPr>
      <w:r w:rsidRPr="00191512">
        <w:rPr>
          <w:b/>
        </w:rPr>
        <w:t>property benefits</w:t>
      </w:r>
      <w:r w:rsidRPr="00191512">
        <w:t xml:space="preserve"> – the employer provides an employee with free or discounted property; </w:t>
      </w:r>
    </w:p>
    <w:p w:rsidR="003E22DA" w:rsidRDefault="003E22DA" w:rsidP="00DE7C6D">
      <w:pPr>
        <w:pStyle w:val="Bullet2"/>
      </w:pPr>
      <w:r w:rsidRPr="00B02234">
        <w:rPr>
          <w:b/>
        </w:rPr>
        <w:t>housing benefits</w:t>
      </w:r>
      <w:r w:rsidR="0060035A">
        <w:t xml:space="preserve"> </w:t>
      </w:r>
      <w:r w:rsidR="007E4F6B">
        <w:t>–</w:t>
      </w:r>
      <w:r w:rsidR="0060035A">
        <w:t xml:space="preserve"> </w:t>
      </w:r>
      <w:r w:rsidR="007E4F6B">
        <w:t>the employer provides the employee with a right to use a unit of accommodation that is the employee's usual place of residence</w:t>
      </w:r>
      <w:r>
        <w:t>;</w:t>
      </w:r>
    </w:p>
    <w:p w:rsidR="003E22DA" w:rsidRDefault="003E22DA" w:rsidP="00DE7C6D">
      <w:pPr>
        <w:pStyle w:val="Bullet2"/>
      </w:pPr>
      <w:r w:rsidRPr="00B02234">
        <w:rPr>
          <w:b/>
        </w:rPr>
        <w:t>living</w:t>
      </w:r>
      <w:r w:rsidR="007E4F6B" w:rsidRPr="00B02234">
        <w:rPr>
          <w:b/>
        </w:rPr>
        <w:t>-</w:t>
      </w:r>
      <w:r w:rsidRPr="00B02234">
        <w:rPr>
          <w:b/>
        </w:rPr>
        <w:t>away</w:t>
      </w:r>
      <w:r w:rsidR="007E4F6B" w:rsidRPr="00B02234">
        <w:rPr>
          <w:b/>
        </w:rPr>
        <w:t>-from-</w:t>
      </w:r>
      <w:r w:rsidRPr="00B02234">
        <w:rPr>
          <w:b/>
        </w:rPr>
        <w:t>home allowance benefits</w:t>
      </w:r>
      <w:r w:rsidR="0060035A">
        <w:t xml:space="preserve"> </w:t>
      </w:r>
      <w:r w:rsidR="007E4F6B">
        <w:t xml:space="preserve">– the employer pays the employee an allowance </w:t>
      </w:r>
      <w:r w:rsidR="003F6BF3">
        <w:t xml:space="preserve">to compensate the employee for the additional expenses incurred in living </w:t>
      </w:r>
      <w:r w:rsidR="007E4F6B" w:rsidRPr="007E4F6B">
        <w:t>away</w:t>
      </w:r>
      <w:r w:rsidR="003F6BF3">
        <w:t xml:space="preserve"> </w:t>
      </w:r>
      <w:r w:rsidR="007E4F6B" w:rsidRPr="007E4F6B">
        <w:t>from</w:t>
      </w:r>
      <w:r w:rsidR="003F6BF3">
        <w:t xml:space="preserve"> </w:t>
      </w:r>
      <w:r w:rsidR="007E4F6B" w:rsidRPr="007E4F6B">
        <w:t>home</w:t>
      </w:r>
      <w:r>
        <w:t>;</w:t>
      </w:r>
    </w:p>
    <w:p w:rsidR="003E22DA" w:rsidRDefault="003E22DA" w:rsidP="00DE7C6D">
      <w:pPr>
        <w:pStyle w:val="Bullet2"/>
      </w:pPr>
      <w:r w:rsidRPr="00B02234">
        <w:rPr>
          <w:b/>
        </w:rPr>
        <w:t>board benefits</w:t>
      </w:r>
      <w:r w:rsidR="0060035A">
        <w:t xml:space="preserve"> </w:t>
      </w:r>
      <w:r w:rsidR="003F6BF3">
        <w:t>–</w:t>
      </w:r>
      <w:r w:rsidR="0060035A">
        <w:t xml:space="preserve"> </w:t>
      </w:r>
      <w:r w:rsidR="003F6BF3">
        <w:t>meals provided in circumstances where the employer provides th</w:t>
      </w:r>
      <w:r w:rsidR="00FC4AA8">
        <w:t>e</w:t>
      </w:r>
      <w:r w:rsidR="003F6BF3">
        <w:t xml:space="preserve"> </w:t>
      </w:r>
      <w:r w:rsidR="00FC4AA8">
        <w:t xml:space="preserve">employee with accommodation </w:t>
      </w:r>
      <w:r w:rsidR="003F6BF3" w:rsidRPr="003F6BF3">
        <w:t>and an entitlem</w:t>
      </w:r>
      <w:r w:rsidR="003F6BF3">
        <w:t>ent to at least two meals a day</w:t>
      </w:r>
      <w:r>
        <w:t>;</w:t>
      </w:r>
    </w:p>
    <w:p w:rsidR="003E22DA" w:rsidRDefault="003E22DA" w:rsidP="00DE7C6D">
      <w:pPr>
        <w:pStyle w:val="Bullet2"/>
      </w:pPr>
      <w:r w:rsidRPr="00B02234">
        <w:rPr>
          <w:b/>
        </w:rPr>
        <w:t>entertainment benefits provided by tax exempt bodies</w:t>
      </w:r>
      <w:r w:rsidR="0060035A">
        <w:t xml:space="preserve"> </w:t>
      </w:r>
      <w:r w:rsidR="003F6BF3">
        <w:t xml:space="preserve">– the employer </w:t>
      </w:r>
      <w:r w:rsidR="00AB6461">
        <w:t>is</w:t>
      </w:r>
      <w:r w:rsidR="000319B2">
        <w:t xml:space="preserve"> wholly or partly e</w:t>
      </w:r>
      <w:r w:rsidR="00AB6461">
        <w:t xml:space="preserve">xempt from income tax and </w:t>
      </w:r>
      <w:r w:rsidR="003F6BF3">
        <w:t>provides the employee with</w:t>
      </w:r>
      <w:r w:rsidR="003F6BF3" w:rsidRPr="003F6BF3">
        <w:t xml:space="preserve"> entertainment by way of food, drink or recreation</w:t>
      </w:r>
      <w:r>
        <w:t>;</w:t>
      </w:r>
    </w:p>
    <w:p w:rsidR="003E22DA" w:rsidRDefault="0060035A" w:rsidP="00DE7C6D">
      <w:pPr>
        <w:pStyle w:val="Bullet2"/>
      </w:pPr>
      <w:r w:rsidRPr="006A228D">
        <w:rPr>
          <w:b/>
        </w:rPr>
        <w:t>meal</w:t>
      </w:r>
      <w:r w:rsidR="003E22DA" w:rsidRPr="006A228D">
        <w:rPr>
          <w:b/>
        </w:rPr>
        <w:t xml:space="preserve"> entertainment benefits</w:t>
      </w:r>
      <w:r>
        <w:t xml:space="preserve"> </w:t>
      </w:r>
      <w:r w:rsidR="000319B2">
        <w:t>–</w:t>
      </w:r>
      <w:r>
        <w:t xml:space="preserve"> </w:t>
      </w:r>
      <w:r w:rsidR="000319B2">
        <w:t>special valuation rules designed to reduce compliance costs apply where the employer provides the employee with entertainment by way of food or drink</w:t>
      </w:r>
      <w:r w:rsidR="000319B2">
        <w:rPr>
          <w:rStyle w:val="FootnoteReference"/>
        </w:rPr>
        <w:footnoteReference w:id="12"/>
      </w:r>
      <w:r w:rsidR="003E22DA">
        <w:t>;</w:t>
      </w:r>
      <w:r w:rsidR="00191512">
        <w:t xml:space="preserve"> and</w:t>
      </w:r>
    </w:p>
    <w:p w:rsidR="003E22DA" w:rsidRDefault="003E22DA" w:rsidP="00DE7C6D">
      <w:pPr>
        <w:pStyle w:val="Bullet2"/>
      </w:pPr>
      <w:r w:rsidRPr="00B02234">
        <w:rPr>
          <w:b/>
        </w:rPr>
        <w:t>residual benefits</w:t>
      </w:r>
      <w:r w:rsidR="0060035A">
        <w:t xml:space="preserve"> </w:t>
      </w:r>
      <w:r w:rsidR="00026E4B">
        <w:t>–</w:t>
      </w:r>
      <w:r w:rsidR="0060035A">
        <w:t xml:space="preserve"> </w:t>
      </w:r>
      <w:r w:rsidR="00026E4B">
        <w:t xml:space="preserve">a benefit that an employer provides an employee that does not fit within any of the </w:t>
      </w:r>
      <w:r w:rsidR="00CE133F">
        <w:t xml:space="preserve">valuation rules for the </w:t>
      </w:r>
      <w:r w:rsidR="00026E4B">
        <w:t>other 1</w:t>
      </w:r>
      <w:r w:rsidR="00C756C5">
        <w:t>1</w:t>
      </w:r>
      <w:r w:rsidR="00026E4B">
        <w:t xml:space="preserve"> categories of benefits</w:t>
      </w:r>
      <w:r w:rsidR="001A624C">
        <w:t xml:space="preserve"> (such as free or discounted services</w:t>
      </w:r>
      <w:r w:rsidR="00CF5144">
        <w:t xml:space="preserve"> that the employer</w:t>
      </w:r>
      <w:r w:rsidR="001A624C">
        <w:t xml:space="preserve"> provide</w:t>
      </w:r>
      <w:r w:rsidR="00CF5144">
        <w:t>s</w:t>
      </w:r>
      <w:r w:rsidR="001A624C">
        <w:t xml:space="preserve"> to </w:t>
      </w:r>
      <w:r w:rsidR="00CF5144">
        <w:t>its</w:t>
      </w:r>
      <w:r w:rsidR="001A624C">
        <w:t xml:space="preserve"> employee</w:t>
      </w:r>
      <w:r w:rsidR="00CF5144">
        <w:t>s</w:t>
      </w:r>
      <w:r w:rsidR="001A624C">
        <w:t>)</w:t>
      </w:r>
      <w:r>
        <w:t>.</w:t>
      </w:r>
    </w:p>
    <w:p w:rsidR="00EC5653" w:rsidRDefault="00504D59" w:rsidP="00DE7C6D">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CF5144" w:rsidRPr="00EC5653">
        <w:rPr>
          <w:b/>
          <w:color w:val="0070C0"/>
        </w:rPr>
        <w:t>the category into which a fringe benefit falls determines how the value of that benefit is calculated for FBT</w:t>
      </w:r>
      <w:r w:rsidR="00DE7C6D" w:rsidRPr="00EC5653">
        <w:rPr>
          <w:b/>
          <w:color w:val="0070C0"/>
        </w:rPr>
        <w:t xml:space="preserve"> purposes.</w:t>
      </w:r>
    </w:p>
    <w:p w:rsidR="001A5990" w:rsidRPr="00504D59" w:rsidRDefault="001A5990" w:rsidP="00102490">
      <w:pPr>
        <w:pStyle w:val="AllensHeading2"/>
      </w:pPr>
      <w:bookmarkStart w:id="23" w:name="_Toc437947574"/>
      <w:r w:rsidRPr="00504D59">
        <w:lastRenderedPageBreak/>
        <w:t xml:space="preserve">FBT </w:t>
      </w:r>
      <w:r w:rsidR="001942FA" w:rsidRPr="00504D59">
        <w:t>e</w:t>
      </w:r>
      <w:r w:rsidRPr="00504D59">
        <w:t>xempt benefits</w:t>
      </w:r>
      <w:bookmarkEnd w:id="23"/>
    </w:p>
    <w:p w:rsidR="00853348" w:rsidRDefault="008941B5" w:rsidP="00102490">
      <w:pPr>
        <w:ind w:left="709"/>
      </w:pPr>
      <w:r>
        <w:t>In addition to the $3</w:t>
      </w:r>
      <w:r w:rsidR="002853D2">
        <w:t>1,177</w:t>
      </w:r>
      <w:r>
        <w:t xml:space="preserve"> FBT exemption for </w:t>
      </w:r>
      <w:r w:rsidR="00CF5144">
        <w:t>an employer that is a PBI</w:t>
      </w:r>
      <w:r>
        <w:t xml:space="preserve"> (</w:t>
      </w:r>
      <w:r w:rsidR="00CF5144" w:rsidRPr="0053638F">
        <w:rPr>
          <w:i/>
        </w:rPr>
        <w:t xml:space="preserve">see heading </w:t>
      </w:r>
      <w:fldSimple w:instr=" REF _Ref411756863 \r \h  \* MERGEFORMAT ">
        <w:r w:rsidR="000419E4">
          <w:rPr>
            <w:i/>
          </w:rPr>
          <w:t>2.10</w:t>
        </w:r>
      </w:fldSimple>
      <w:r>
        <w:t>), t</w:t>
      </w:r>
      <w:r w:rsidR="001A5990">
        <w:t xml:space="preserve">here are a variety of benefits that fall outside the definition of fringe benefit because they are </w:t>
      </w:r>
      <w:r w:rsidR="008D2E66">
        <w:t>'</w:t>
      </w:r>
      <w:r w:rsidR="001A5990">
        <w:t>exempt benefits</w:t>
      </w:r>
      <w:r w:rsidR="008D2E66">
        <w:t>'</w:t>
      </w:r>
      <w:r w:rsidR="007128EA">
        <w:t>. Accordingly, an employer can provide an employee with an exempt benefit free of FBT</w:t>
      </w:r>
      <w:r w:rsidR="001A5990">
        <w:t>.</w:t>
      </w:r>
      <w:r>
        <w:t xml:space="preserve"> The list below outlines some of the more common exempt benefits, however, the list is not exhaustive. If </w:t>
      </w:r>
      <w:r w:rsidR="003932C8">
        <w:t>a</w:t>
      </w:r>
      <w:r w:rsidR="008D2E66">
        <w:t xml:space="preserve"> </w:t>
      </w:r>
      <w:r>
        <w:t xml:space="preserve">Community Legal Centre provides an employee with a form of benefit that it has not previously provided, and that is not listed below, </w:t>
      </w:r>
      <w:r w:rsidRPr="008941B5">
        <w:t xml:space="preserve">the </w:t>
      </w:r>
      <w:r w:rsidR="008D2E66">
        <w:t>employer</w:t>
      </w:r>
      <w:r w:rsidRPr="008941B5">
        <w:t xml:space="preserve"> </w:t>
      </w:r>
      <w:r>
        <w:t xml:space="preserve">should obtain advice at that time regarding the appropriate FBT treatment of </w:t>
      </w:r>
      <w:r w:rsidR="00B02234">
        <w:t xml:space="preserve">the </w:t>
      </w:r>
      <w:r>
        <w:t xml:space="preserve">benefit. </w:t>
      </w:r>
    </w:p>
    <w:p w:rsidR="006D7520" w:rsidRDefault="008941B5" w:rsidP="00853348">
      <w:pPr>
        <w:spacing w:line="240" w:lineRule="auto"/>
        <w:ind w:left="709"/>
      </w:pPr>
      <w:r>
        <w:t xml:space="preserve">   </w:t>
      </w:r>
      <w:r w:rsidR="001A5990">
        <w:t xml:space="preserve">   </w:t>
      </w:r>
    </w:p>
    <w:p w:rsidR="008503E1" w:rsidRDefault="007128EA" w:rsidP="002853D2">
      <w:pPr>
        <w:pStyle w:val="Bullet2"/>
      </w:pPr>
      <w:r>
        <w:t>C</w:t>
      </w:r>
      <w:r w:rsidR="001942FA">
        <w:t xml:space="preserve">ertain work related items </w:t>
      </w:r>
      <w:r w:rsidR="008503E1">
        <w:t xml:space="preserve">primarily for use in the employee's employment </w:t>
      </w:r>
      <w:r w:rsidR="001942FA">
        <w:t xml:space="preserve">such as portable or laptop computers and mobile phones </w:t>
      </w:r>
      <w:r w:rsidR="002853D2">
        <w:t>(</w:t>
      </w:r>
      <w:r w:rsidR="002853D2" w:rsidRPr="002853D2">
        <w:t>except for certain small businesses</w:t>
      </w:r>
      <w:r w:rsidR="002853D2">
        <w:t xml:space="preserve">, this is </w:t>
      </w:r>
      <w:r w:rsidR="001942FA">
        <w:t>limited to one of each item</w:t>
      </w:r>
      <w:r w:rsidR="00B64096">
        <w:t xml:space="preserve"> per year per employee)</w:t>
      </w:r>
      <w:r>
        <w:t>.</w:t>
      </w:r>
    </w:p>
    <w:p w:rsidR="008503E1" w:rsidRDefault="007128EA" w:rsidP="00102490">
      <w:pPr>
        <w:pStyle w:val="Bullet2"/>
      </w:pPr>
      <w:r>
        <w:t>T</w:t>
      </w:r>
      <w:r w:rsidR="008503E1">
        <w:t xml:space="preserve">ravel for an employee when there is </w:t>
      </w:r>
      <w:r w:rsidR="00B64096">
        <w:t>the</w:t>
      </w:r>
      <w:r w:rsidR="008503E1">
        <w:t xml:space="preserve"> death </w:t>
      </w:r>
      <w:r w:rsidR="00B64096">
        <w:t xml:space="preserve">of </w:t>
      </w:r>
      <w:r w:rsidR="008503E1">
        <w:t>or ser</w:t>
      </w:r>
      <w:r w:rsidR="00B02234">
        <w:t xml:space="preserve">ious illness </w:t>
      </w:r>
      <w:r w:rsidR="00B64096">
        <w:t>t</w:t>
      </w:r>
      <w:r w:rsidR="00B02234">
        <w:t>o a family member</w:t>
      </w:r>
      <w:r>
        <w:t>.</w:t>
      </w:r>
    </w:p>
    <w:p w:rsidR="008503E1" w:rsidRDefault="007128EA" w:rsidP="00102490">
      <w:pPr>
        <w:pStyle w:val="Bullet2"/>
      </w:pPr>
      <w:r>
        <w:t>A</w:t>
      </w:r>
      <w:r w:rsidR="008503E1">
        <w:t>wards for long service of at least 15 years up to $1,000 plus $100 per year</w:t>
      </w:r>
      <w:r w:rsidR="00262F74">
        <w:t xml:space="preserve"> of service</w:t>
      </w:r>
      <w:r w:rsidR="008503E1">
        <w:t xml:space="preserve"> in excess of 15 years</w:t>
      </w:r>
      <w:r w:rsidR="00262F74">
        <w:t xml:space="preserve"> of </w:t>
      </w:r>
      <w:r w:rsidR="00B02234">
        <w:t>service</w:t>
      </w:r>
      <w:r>
        <w:t>.</w:t>
      </w:r>
    </w:p>
    <w:p w:rsidR="008503E1" w:rsidRDefault="007128EA" w:rsidP="00102490">
      <w:pPr>
        <w:pStyle w:val="Bullet2"/>
      </w:pPr>
      <w:r>
        <w:t>C</w:t>
      </w:r>
      <w:r w:rsidR="008503E1">
        <w:t>ertain benefits relating to the relocation of an employee</w:t>
      </w:r>
      <w:r w:rsidR="00CE4755">
        <w:t xml:space="preserve"> between loc</w:t>
      </w:r>
      <w:r w:rsidR="00B02234">
        <w:t>alities for employment purposes</w:t>
      </w:r>
      <w:r>
        <w:t>.</w:t>
      </w:r>
    </w:p>
    <w:p w:rsidR="00CE4755" w:rsidRDefault="007128EA" w:rsidP="00102490">
      <w:pPr>
        <w:pStyle w:val="Bullet2"/>
      </w:pPr>
      <w:r>
        <w:t>M</w:t>
      </w:r>
      <w:r w:rsidR="00B64096">
        <w:t>inor b</w:t>
      </w:r>
      <w:r w:rsidR="00F83854">
        <w:t>enefit</w:t>
      </w:r>
      <w:r w:rsidR="00B02234">
        <w:t>s</w:t>
      </w:r>
      <w:r w:rsidR="00CE4755">
        <w:t xml:space="preserve"> with a value of less than $300</w:t>
      </w:r>
      <w:r w:rsidR="00D93712">
        <w:t xml:space="preserve"> where it would be unreasonable </w:t>
      </w:r>
      <w:r w:rsidR="00F83854">
        <w:t>to treat it as a fringe benefit having regard to, for instance, the infrequency and irregularity with which such benefits are prov</w:t>
      </w:r>
      <w:r w:rsidR="00262F74">
        <w:t>i</w:t>
      </w:r>
      <w:r w:rsidR="00F83854">
        <w:t>ded</w:t>
      </w:r>
      <w:r w:rsidR="00262F74">
        <w:t xml:space="preserve"> or the practical difficulty in valuing </w:t>
      </w:r>
      <w:r w:rsidR="00B02234">
        <w:t xml:space="preserve">the relevant </w:t>
      </w:r>
      <w:r w:rsidR="00262F74">
        <w:t>benefit</w:t>
      </w:r>
      <w:r>
        <w:t xml:space="preserve"> (such as minor Christmas gifts for employees).</w:t>
      </w:r>
    </w:p>
    <w:p w:rsidR="00CE4755" w:rsidRDefault="007128EA" w:rsidP="00102490">
      <w:pPr>
        <w:pStyle w:val="Bullet2"/>
      </w:pPr>
      <w:r>
        <w:t>T</w:t>
      </w:r>
      <w:r w:rsidR="00CE4755">
        <w:t xml:space="preserve">axi travel beginning or ending </w:t>
      </w:r>
      <w:r w:rsidR="00B02234">
        <w:t>at the employee's place of work</w:t>
      </w:r>
      <w:r>
        <w:t>.</w:t>
      </w:r>
    </w:p>
    <w:p w:rsidR="008E0325" w:rsidRDefault="007128EA" w:rsidP="00102490">
      <w:pPr>
        <w:pStyle w:val="Bullet2"/>
      </w:pPr>
      <w:r>
        <w:t>M</w:t>
      </w:r>
      <w:r w:rsidR="008E0325">
        <w:t>embership and subscription fees for professional journals</w:t>
      </w:r>
      <w:r w:rsidR="00D93712">
        <w:t xml:space="preserve">, </w:t>
      </w:r>
      <w:r w:rsidR="00F83854">
        <w:t xml:space="preserve">corporate </w:t>
      </w:r>
      <w:r w:rsidR="00D93712">
        <w:t>credit cards and airport lounge</w:t>
      </w:r>
      <w:r w:rsidR="00262F74">
        <w:t xml:space="preserve"> membership</w:t>
      </w:r>
      <w:r>
        <w:t>.</w:t>
      </w:r>
    </w:p>
    <w:p w:rsidR="006D7520" w:rsidRDefault="007128EA" w:rsidP="00102490">
      <w:pPr>
        <w:pStyle w:val="Bullet2"/>
      </w:pPr>
      <w:r>
        <w:t>C</w:t>
      </w:r>
      <w:r w:rsidR="006D7520">
        <w:t xml:space="preserve">ar parking benefits provided by </w:t>
      </w:r>
      <w:r w:rsidR="0026396F">
        <w:t>a PBI</w:t>
      </w:r>
      <w:r>
        <w:t xml:space="preserve">. </w:t>
      </w:r>
    </w:p>
    <w:p w:rsidR="00D548AF" w:rsidRDefault="007128EA" w:rsidP="00102490">
      <w:pPr>
        <w:pStyle w:val="Bullet2"/>
      </w:pPr>
      <w:r>
        <w:t>E</w:t>
      </w:r>
      <w:r w:rsidR="00E82188">
        <w:t xml:space="preserve">xpense payment </w:t>
      </w:r>
      <w:r w:rsidR="00B02234">
        <w:t xml:space="preserve">benefits </w:t>
      </w:r>
      <w:r w:rsidR="001A624C">
        <w:t xml:space="preserve">or residual </w:t>
      </w:r>
      <w:r w:rsidR="00E82188">
        <w:t>benefit</w:t>
      </w:r>
      <w:r w:rsidR="001A624C">
        <w:t>s</w:t>
      </w:r>
      <w:r w:rsidR="00D636E0">
        <w:t xml:space="preserve"> where </w:t>
      </w:r>
      <w:r w:rsidR="00262F74">
        <w:t xml:space="preserve">the employer </w:t>
      </w:r>
      <w:r w:rsidR="00D636E0">
        <w:t>makes</w:t>
      </w:r>
      <w:r w:rsidR="00262F74">
        <w:t xml:space="preserve"> </w:t>
      </w:r>
      <w:r w:rsidR="00262F74" w:rsidRPr="00E9133A">
        <w:t xml:space="preserve">a 'no private use declaration' – </w:t>
      </w:r>
      <w:r w:rsidR="00D636E0" w:rsidRPr="00E9133A">
        <w:t>t</w:t>
      </w:r>
      <w:r w:rsidR="00D636E0">
        <w:t xml:space="preserve">his declaration must be made by the employer </w:t>
      </w:r>
      <w:r w:rsidR="00157673">
        <w:t xml:space="preserve">in the approved form </w:t>
      </w:r>
      <w:r w:rsidR="00D636E0">
        <w:t xml:space="preserve">before it lodges its FBT return and it must relate to all benefits of a particular type </w:t>
      </w:r>
      <w:r w:rsidR="00157673">
        <w:t xml:space="preserve">(and the </w:t>
      </w:r>
      <w:r w:rsidR="00157673" w:rsidRPr="00157673">
        <w:t xml:space="preserve">employer </w:t>
      </w:r>
      <w:r w:rsidR="00157673">
        <w:t>should</w:t>
      </w:r>
      <w:r w:rsidR="00157673" w:rsidRPr="00157673">
        <w:t xml:space="preserve"> have defined polic</w:t>
      </w:r>
      <w:r w:rsidR="00157673">
        <w:t>ies</w:t>
      </w:r>
      <w:r w:rsidR="00157673" w:rsidRPr="00157673">
        <w:t xml:space="preserve"> and procedures in place that prevent private usage of the </w:t>
      </w:r>
      <w:r w:rsidR="00157673">
        <w:t>benefit)</w:t>
      </w:r>
      <w:r w:rsidR="00262F74">
        <w:t xml:space="preserve">. </w:t>
      </w:r>
    </w:p>
    <w:p w:rsidR="00E9133A" w:rsidRDefault="00E9133A" w:rsidP="00102490">
      <w:pPr>
        <w:pStyle w:val="Bullet2"/>
      </w:pPr>
      <w:r>
        <w:t xml:space="preserve">Employer contributions to a complying superannuation fund </w:t>
      </w:r>
      <w:r w:rsidR="00C16994" w:rsidRPr="00C16994">
        <w:t xml:space="preserve">on behalf of an employee (but not the spouse of an employee) </w:t>
      </w:r>
      <w:r>
        <w:t>are excluded from the d</w:t>
      </w:r>
      <w:r w:rsidR="00EE3A3C">
        <w:t xml:space="preserve">efinition of fringe benefit and, accordingly, an employee can sacrifice part of their salary in return for the employer making additional superannuation contributions </w:t>
      </w:r>
      <w:r w:rsidR="00C16994">
        <w:t xml:space="preserve">and these contributions will </w:t>
      </w:r>
      <w:r w:rsidR="00C16994" w:rsidRPr="00C16994">
        <w:t>not</w:t>
      </w:r>
      <w:r w:rsidR="00C16994">
        <w:t xml:space="preserve"> be</w:t>
      </w:r>
      <w:r w:rsidR="00C16994" w:rsidRPr="00C16994">
        <w:t xml:space="preserve"> subject to FBT and </w:t>
      </w:r>
      <w:r w:rsidR="00C16994">
        <w:t>will</w:t>
      </w:r>
      <w:r w:rsidR="00C16994" w:rsidRPr="00C16994">
        <w:t xml:space="preserve"> not </w:t>
      </w:r>
      <w:r w:rsidR="00C16994">
        <w:t xml:space="preserve">be </w:t>
      </w:r>
      <w:r w:rsidR="00C16994" w:rsidRPr="00C16994">
        <w:t>included in the employee’s taxable income</w:t>
      </w:r>
      <w:r w:rsidR="00723309">
        <w:rPr>
          <w:rStyle w:val="FootnoteReference"/>
        </w:rPr>
        <w:footnoteReference w:id="13"/>
      </w:r>
      <w:r w:rsidR="00C16994">
        <w:t xml:space="preserve">. </w:t>
      </w:r>
    </w:p>
    <w:p w:rsidR="00EC5653" w:rsidRDefault="00504D59" w:rsidP="00102490">
      <w:pPr>
        <w:pStyle w:val="Bullet1"/>
        <w:numPr>
          <w:ilvl w:val="0"/>
          <w:numId w:val="0"/>
        </w:numPr>
        <w:ind w:left="709"/>
        <w:rPr>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7128EA" w:rsidRPr="00EC5653">
        <w:rPr>
          <w:b/>
          <w:color w:val="0070C0"/>
        </w:rPr>
        <w:t>an exempt benefit is excluded from the definition of fringe benefit and can be provided to an employee free of FBT</w:t>
      </w:r>
      <w:r w:rsidR="00102490" w:rsidRPr="00EC5653">
        <w:rPr>
          <w:color w:val="0070C0"/>
        </w:rPr>
        <w:t>.</w:t>
      </w:r>
    </w:p>
    <w:p w:rsidR="005F3D77" w:rsidRPr="00504D59" w:rsidRDefault="002853D2" w:rsidP="00102490">
      <w:pPr>
        <w:pStyle w:val="AllensHeading2"/>
      </w:pPr>
      <w:bookmarkStart w:id="24" w:name="_Ref411753612"/>
      <w:bookmarkStart w:id="25" w:name="_Ref411754350"/>
      <w:bookmarkStart w:id="26" w:name="_Ref411755274"/>
      <w:bookmarkStart w:id="27" w:name="_Ref411756863"/>
      <w:bookmarkStart w:id="28" w:name="_Toc437947575"/>
      <w:r>
        <w:lastRenderedPageBreak/>
        <w:t>$31,177</w:t>
      </w:r>
      <w:r w:rsidR="005F3D77" w:rsidRPr="00504D59">
        <w:t xml:space="preserve"> FBT exemption for PBI</w:t>
      </w:r>
      <w:r w:rsidR="00EA70F6">
        <w:t xml:space="preserve"> employer</w:t>
      </w:r>
      <w:r w:rsidR="005F3D77" w:rsidRPr="00504D59">
        <w:t>s</w:t>
      </w:r>
      <w:bookmarkEnd w:id="24"/>
      <w:bookmarkEnd w:id="25"/>
      <w:bookmarkEnd w:id="26"/>
      <w:bookmarkEnd w:id="27"/>
      <w:bookmarkEnd w:id="28"/>
    </w:p>
    <w:p w:rsidR="005F3D77" w:rsidRDefault="005F3D77" w:rsidP="00102490">
      <w:pPr>
        <w:ind w:left="709"/>
      </w:pPr>
      <w:r>
        <w:t xml:space="preserve">Where </w:t>
      </w:r>
      <w:r w:rsidR="00EA70F6">
        <w:t>an</w:t>
      </w:r>
      <w:r w:rsidR="005D6527">
        <w:t xml:space="preserve"> employer is a</w:t>
      </w:r>
      <w:r>
        <w:t xml:space="preserve"> </w:t>
      </w:r>
      <w:r w:rsidR="009E7C12">
        <w:t>PBI</w:t>
      </w:r>
      <w:r w:rsidR="003932C8">
        <w:t>,</w:t>
      </w:r>
      <w:r w:rsidR="005D6527">
        <w:t xml:space="preserve"> </w:t>
      </w:r>
      <w:r>
        <w:t xml:space="preserve">its fringe benefits taxable amount is the sum of its type 1 and type 2 benefits and its </w:t>
      </w:r>
      <w:r w:rsidR="00EA70F6">
        <w:t>'</w:t>
      </w:r>
      <w:r>
        <w:t>aggregate non-exempt amount</w:t>
      </w:r>
      <w:r w:rsidR="00EA70F6">
        <w:t>'</w:t>
      </w:r>
      <w:r>
        <w:t xml:space="preserve">. This aggregate non-exempt amount is the sum of the grossed-up value of benefits that the employer provides to each employee that exceeds, in the case of a </w:t>
      </w:r>
      <w:r w:rsidR="009E7C12">
        <w:t>PBI</w:t>
      </w:r>
      <w:r w:rsidR="005323E6">
        <w:t>, $31,177</w:t>
      </w:r>
      <w:r w:rsidR="00DA75ED">
        <w:rPr>
          <w:rStyle w:val="FootnoteReference"/>
        </w:rPr>
        <w:footnoteReference w:id="14"/>
      </w:r>
      <w:r>
        <w:t xml:space="preserve">. </w:t>
      </w:r>
    </w:p>
    <w:p w:rsidR="005F3D77" w:rsidRDefault="005F3D77" w:rsidP="00102490">
      <w:pPr>
        <w:ind w:left="709"/>
      </w:pPr>
      <w:r>
        <w:t xml:space="preserve">In effect, the formula to calculate the fringe benefits taxable amount </w:t>
      </w:r>
      <w:r w:rsidR="009E7C12">
        <w:t xml:space="preserve">for an employer that is </w:t>
      </w:r>
      <w:r>
        <w:t xml:space="preserve">a </w:t>
      </w:r>
      <w:r w:rsidR="009E7C12">
        <w:t>PBI</w:t>
      </w:r>
      <w:r>
        <w:t xml:space="preserve"> means that the </w:t>
      </w:r>
      <w:r w:rsidR="009E7C12">
        <w:t>PBI</w:t>
      </w:r>
      <w:r>
        <w:t xml:space="preserve"> will not have </w:t>
      </w:r>
      <w:r w:rsidR="009E7C12">
        <w:t>an FBT liability</w:t>
      </w:r>
      <w:r>
        <w:t xml:space="preserve"> to the extent that the grossed-up amount of the </w:t>
      </w:r>
      <w:r w:rsidR="00EA70F6">
        <w:t xml:space="preserve">taxable </w:t>
      </w:r>
      <w:r w:rsidR="00656EDE">
        <w:t xml:space="preserve">fringe </w:t>
      </w:r>
      <w:r>
        <w:t>benefits</w:t>
      </w:r>
      <w:r w:rsidR="00AA72E3">
        <w:rPr>
          <w:rStyle w:val="FootnoteReference"/>
        </w:rPr>
        <w:footnoteReference w:id="15"/>
      </w:r>
      <w:r>
        <w:t xml:space="preserve"> </w:t>
      </w:r>
      <w:r w:rsidR="00B02234">
        <w:t>that the employer</w:t>
      </w:r>
      <w:r>
        <w:t xml:space="preserve"> provides to </w:t>
      </w:r>
      <w:r w:rsidR="007E4CD3">
        <w:t>an employee</w:t>
      </w:r>
      <w:r>
        <w:t xml:space="preserve"> do</w:t>
      </w:r>
      <w:r w:rsidR="0091594F">
        <w:t>es</w:t>
      </w:r>
      <w:r>
        <w:t xml:space="preserve"> not exceed $3</w:t>
      </w:r>
      <w:r w:rsidR="005323E6">
        <w:t>1,177</w:t>
      </w:r>
      <w:r>
        <w:t xml:space="preserve"> in an FBT year. This is demonstrated by the </w:t>
      </w:r>
      <w:r w:rsidRPr="00525A57">
        <w:t>example</w:t>
      </w:r>
      <w:r w:rsidR="009E7C12">
        <w:t xml:space="preserve"> below</w:t>
      </w:r>
      <w:r w:rsidR="00853348">
        <w:rPr>
          <w:rStyle w:val="FootnoteReference"/>
        </w:rPr>
        <w:footnoteReference w:id="16"/>
      </w:r>
      <w:r w:rsidR="009E7C12">
        <w:t>.</w:t>
      </w:r>
      <w:r>
        <w:t xml:space="preserve"> </w:t>
      </w:r>
    </w:p>
    <w:p w:rsidR="00191512" w:rsidRPr="003715CA" w:rsidRDefault="00191512" w:rsidP="00853348">
      <w:pPr>
        <w:spacing w:line="240" w:lineRule="auto"/>
        <w:ind w:left="709"/>
      </w:pPr>
    </w:p>
    <w:tbl>
      <w:tblPr>
        <w:tblW w:w="8647" w:type="dxa"/>
        <w:tblInd w:w="715" w:type="dxa"/>
        <w:tblLook w:val="04A0"/>
      </w:tblPr>
      <w:tblGrid>
        <w:gridCol w:w="3303"/>
        <w:gridCol w:w="260"/>
        <w:gridCol w:w="2551"/>
        <w:gridCol w:w="2533"/>
      </w:tblGrid>
      <w:tr w:rsidR="003715CA" w:rsidRPr="003715CA" w:rsidTr="0019095D">
        <w:trPr>
          <w:trHeight w:val="244"/>
        </w:trPr>
        <w:tc>
          <w:tcPr>
            <w:tcW w:w="3563" w:type="dxa"/>
            <w:gridSpan w:val="2"/>
            <w:tcBorders>
              <w:top w:val="nil"/>
              <w:left w:val="nil"/>
              <w:bottom w:val="nil"/>
              <w:right w:val="nil"/>
            </w:tcBorders>
            <w:shd w:val="clear" w:color="auto" w:fill="auto"/>
            <w:noWrap/>
            <w:vAlign w:val="bottom"/>
            <w:hideMark/>
          </w:tcPr>
          <w:p w:rsidR="003715CA" w:rsidRPr="003715CA" w:rsidRDefault="003715CA" w:rsidP="003E7C85">
            <w:pPr>
              <w:spacing w:before="0" w:line="240" w:lineRule="auto"/>
              <w:rPr>
                <w:rFonts w:ascii="Calibri" w:hAnsi="Calibri"/>
                <w:b/>
                <w:bCs/>
                <w:color w:val="0070C0"/>
              </w:rPr>
            </w:pPr>
            <w:r w:rsidRPr="003715CA">
              <w:rPr>
                <w:rFonts w:ascii="Calibri" w:hAnsi="Calibri"/>
                <w:b/>
                <w:bCs/>
                <w:color w:val="0070C0"/>
              </w:rPr>
              <w:t>Tax Savings Calculator (201</w:t>
            </w:r>
            <w:r w:rsidR="003E7C85">
              <w:rPr>
                <w:rFonts w:ascii="Calibri" w:hAnsi="Calibri"/>
                <w:b/>
                <w:bCs/>
                <w:color w:val="0070C0"/>
              </w:rPr>
              <w:t>5</w:t>
            </w:r>
            <w:r w:rsidRPr="003715CA">
              <w:rPr>
                <w:rFonts w:ascii="Calibri" w:hAnsi="Calibri"/>
                <w:b/>
                <w:bCs/>
                <w:color w:val="0070C0"/>
              </w:rPr>
              <w:t>/201</w:t>
            </w:r>
            <w:r w:rsidR="003E7C85">
              <w:rPr>
                <w:rFonts w:ascii="Calibri" w:hAnsi="Calibri"/>
                <w:b/>
                <w:bCs/>
                <w:color w:val="0070C0"/>
              </w:rPr>
              <w:t>6</w:t>
            </w:r>
            <w:r w:rsidRPr="003715CA">
              <w:rPr>
                <w:rFonts w:ascii="Calibri" w:hAnsi="Calibri"/>
                <w:b/>
                <w:bCs/>
                <w:color w:val="0070C0"/>
              </w:rPr>
              <w:t>)</w:t>
            </w: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b/>
                <w:bCs/>
                <w:color w:val="0070C0"/>
              </w:rPr>
            </w:pPr>
            <w:r w:rsidRPr="003715CA">
              <w:rPr>
                <w:rFonts w:ascii="Calibri" w:hAnsi="Calibri"/>
                <w:b/>
                <w:bCs/>
                <w:color w:val="0070C0"/>
              </w:rPr>
              <w:t>Without Salary Packaging</w:t>
            </w:r>
          </w:p>
        </w:tc>
        <w:tc>
          <w:tcPr>
            <w:tcW w:w="253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b/>
                <w:bCs/>
                <w:color w:val="0070C0"/>
              </w:rPr>
            </w:pPr>
            <w:r w:rsidRPr="003715CA">
              <w:rPr>
                <w:rFonts w:ascii="Calibri" w:hAnsi="Calibri"/>
                <w:b/>
                <w:bCs/>
                <w:color w:val="0070C0"/>
              </w:rPr>
              <w:t>With Salary Packaging</w:t>
            </w:r>
          </w:p>
        </w:tc>
      </w:tr>
      <w:tr w:rsidR="003715CA" w:rsidRPr="003715CA" w:rsidTr="0019095D">
        <w:trPr>
          <w:trHeight w:val="130"/>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r>
      <w:tr w:rsidR="003715CA" w:rsidRPr="003715CA" w:rsidTr="0019095D">
        <w:trPr>
          <w:trHeight w:val="244"/>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r w:rsidRPr="003715CA">
              <w:rPr>
                <w:rFonts w:ascii="Calibri" w:hAnsi="Calibri"/>
                <w:color w:val="0070C0"/>
              </w:rPr>
              <w:t>Gross/Pre-Tax Salary</w:t>
            </w: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19095D" w:rsidP="00853348">
            <w:pPr>
              <w:spacing w:before="0" w:line="240" w:lineRule="auto"/>
              <w:jc w:val="right"/>
              <w:rPr>
                <w:rFonts w:ascii="Calibri" w:hAnsi="Calibri"/>
                <w:color w:val="0070C0"/>
              </w:rPr>
            </w:pPr>
            <w:r>
              <w:rPr>
                <w:rFonts w:ascii="Calibri" w:hAnsi="Calibri"/>
                <w:color w:val="0070C0"/>
              </w:rPr>
              <w:t>$5</w:t>
            </w:r>
            <w:r w:rsidR="003715CA" w:rsidRPr="003715CA">
              <w:rPr>
                <w:rFonts w:ascii="Calibri" w:hAnsi="Calibri"/>
                <w:color w:val="0070C0"/>
              </w:rPr>
              <w:t>1,000</w:t>
            </w:r>
          </w:p>
        </w:tc>
        <w:tc>
          <w:tcPr>
            <w:tcW w:w="2533" w:type="dxa"/>
            <w:tcBorders>
              <w:top w:val="nil"/>
              <w:left w:val="nil"/>
              <w:bottom w:val="nil"/>
              <w:right w:val="nil"/>
            </w:tcBorders>
            <w:shd w:val="clear" w:color="auto" w:fill="auto"/>
            <w:noWrap/>
            <w:vAlign w:val="bottom"/>
            <w:hideMark/>
          </w:tcPr>
          <w:p w:rsidR="003715CA" w:rsidRPr="003715CA" w:rsidRDefault="003715CA" w:rsidP="007D26A8">
            <w:pPr>
              <w:spacing w:before="0" w:line="240" w:lineRule="auto"/>
              <w:jc w:val="right"/>
              <w:rPr>
                <w:rFonts w:ascii="Calibri" w:hAnsi="Calibri"/>
                <w:color w:val="0070C0"/>
              </w:rPr>
            </w:pPr>
            <w:r w:rsidRPr="003715CA">
              <w:rPr>
                <w:rFonts w:ascii="Calibri" w:hAnsi="Calibri"/>
                <w:color w:val="0070C0"/>
              </w:rPr>
              <w:t>$</w:t>
            </w:r>
            <w:r w:rsidR="007D26A8">
              <w:rPr>
                <w:rFonts w:ascii="Calibri" w:hAnsi="Calibri"/>
                <w:color w:val="0070C0"/>
              </w:rPr>
              <w:t>35,100</w:t>
            </w:r>
          </w:p>
        </w:tc>
      </w:tr>
      <w:tr w:rsidR="003715CA" w:rsidRPr="003715CA" w:rsidTr="0019095D">
        <w:trPr>
          <w:trHeight w:val="130"/>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r>
      <w:tr w:rsidR="003715CA" w:rsidRPr="003715CA" w:rsidTr="0019095D">
        <w:trPr>
          <w:trHeight w:val="244"/>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r w:rsidRPr="003715CA">
              <w:rPr>
                <w:rFonts w:ascii="Calibri" w:hAnsi="Calibri"/>
                <w:color w:val="0070C0"/>
              </w:rPr>
              <w:t>Income Tax Payable</w:t>
            </w: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88396C" w:rsidP="007D26A8">
            <w:pPr>
              <w:spacing w:before="0" w:line="240" w:lineRule="auto"/>
              <w:jc w:val="right"/>
              <w:rPr>
                <w:rFonts w:ascii="Calibri" w:hAnsi="Calibri"/>
                <w:color w:val="0070C0"/>
              </w:rPr>
            </w:pPr>
            <w:r>
              <w:rPr>
                <w:rFonts w:ascii="Calibri" w:hAnsi="Calibri"/>
                <w:color w:val="0070C0"/>
              </w:rPr>
              <w:t>(</w:t>
            </w:r>
            <w:r w:rsidR="007D26A8">
              <w:rPr>
                <w:rFonts w:ascii="Calibri" w:hAnsi="Calibri"/>
                <w:color w:val="0070C0"/>
              </w:rPr>
              <w:t>$8,907</w:t>
            </w:r>
            <w:r>
              <w:rPr>
                <w:rFonts w:ascii="Calibri" w:hAnsi="Calibri"/>
                <w:color w:val="0070C0"/>
              </w:rPr>
              <w:t>)</w:t>
            </w:r>
          </w:p>
        </w:tc>
        <w:tc>
          <w:tcPr>
            <w:tcW w:w="2533" w:type="dxa"/>
            <w:tcBorders>
              <w:top w:val="nil"/>
              <w:left w:val="nil"/>
              <w:bottom w:val="nil"/>
              <w:right w:val="nil"/>
            </w:tcBorders>
            <w:shd w:val="clear" w:color="auto" w:fill="auto"/>
            <w:noWrap/>
            <w:vAlign w:val="bottom"/>
            <w:hideMark/>
          </w:tcPr>
          <w:p w:rsidR="003715CA" w:rsidRPr="003715CA" w:rsidRDefault="0088396C" w:rsidP="007D26A8">
            <w:pPr>
              <w:spacing w:before="0" w:line="240" w:lineRule="auto"/>
              <w:jc w:val="right"/>
              <w:rPr>
                <w:rFonts w:ascii="Calibri" w:hAnsi="Calibri"/>
                <w:color w:val="0070C0"/>
              </w:rPr>
            </w:pPr>
            <w:r>
              <w:rPr>
                <w:rFonts w:ascii="Calibri" w:hAnsi="Calibri"/>
                <w:color w:val="0070C0"/>
              </w:rPr>
              <w:t>(</w:t>
            </w:r>
            <w:r w:rsidR="007D26A8">
              <w:rPr>
                <w:rFonts w:ascii="Calibri" w:hAnsi="Calibri"/>
                <w:color w:val="0070C0"/>
              </w:rPr>
              <w:t>$3,211.50</w:t>
            </w:r>
            <w:r>
              <w:rPr>
                <w:rFonts w:ascii="Calibri" w:hAnsi="Calibri"/>
                <w:color w:val="0070C0"/>
              </w:rPr>
              <w:t>)</w:t>
            </w:r>
          </w:p>
        </w:tc>
      </w:tr>
      <w:tr w:rsidR="003715CA" w:rsidRPr="003715CA" w:rsidTr="0019095D">
        <w:trPr>
          <w:trHeight w:val="130"/>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r>
      <w:tr w:rsidR="003715CA" w:rsidRPr="003715CA" w:rsidTr="0019095D">
        <w:trPr>
          <w:trHeight w:val="244"/>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r w:rsidRPr="003715CA">
              <w:rPr>
                <w:rFonts w:ascii="Calibri" w:hAnsi="Calibri"/>
                <w:color w:val="0070C0"/>
              </w:rPr>
              <w:t>Total Living Expenses</w:t>
            </w: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88396C" w:rsidP="007D26A8">
            <w:pPr>
              <w:spacing w:before="0" w:line="240" w:lineRule="auto"/>
              <w:jc w:val="right"/>
              <w:rPr>
                <w:rFonts w:ascii="Calibri" w:hAnsi="Calibri"/>
                <w:color w:val="0070C0"/>
              </w:rPr>
            </w:pPr>
            <w:r>
              <w:rPr>
                <w:rFonts w:ascii="Calibri" w:hAnsi="Calibri"/>
                <w:color w:val="0070C0"/>
              </w:rPr>
              <w:t>(</w:t>
            </w:r>
            <w:r w:rsidR="003715CA" w:rsidRPr="003715CA">
              <w:rPr>
                <w:rFonts w:ascii="Calibri" w:hAnsi="Calibri"/>
                <w:color w:val="0070C0"/>
              </w:rPr>
              <w:t>$</w:t>
            </w:r>
            <w:r w:rsidR="007D26A8">
              <w:rPr>
                <w:rFonts w:ascii="Calibri" w:hAnsi="Calibri"/>
                <w:color w:val="0070C0"/>
              </w:rPr>
              <w:t>34,000</w:t>
            </w:r>
            <w:r>
              <w:rPr>
                <w:rFonts w:ascii="Calibri" w:hAnsi="Calibri"/>
                <w:color w:val="0070C0"/>
              </w:rPr>
              <w:t>)</w:t>
            </w:r>
          </w:p>
        </w:tc>
        <w:tc>
          <w:tcPr>
            <w:tcW w:w="2533" w:type="dxa"/>
            <w:tcBorders>
              <w:top w:val="nil"/>
              <w:left w:val="nil"/>
              <w:bottom w:val="nil"/>
              <w:right w:val="nil"/>
            </w:tcBorders>
            <w:shd w:val="clear" w:color="auto" w:fill="auto"/>
            <w:noWrap/>
            <w:vAlign w:val="bottom"/>
            <w:hideMark/>
          </w:tcPr>
          <w:p w:rsidR="003715CA" w:rsidRPr="003715CA" w:rsidRDefault="0088396C" w:rsidP="007D26A8">
            <w:pPr>
              <w:spacing w:before="0" w:line="240" w:lineRule="auto"/>
              <w:jc w:val="right"/>
              <w:rPr>
                <w:rFonts w:ascii="Calibri" w:hAnsi="Calibri"/>
                <w:color w:val="0070C0"/>
              </w:rPr>
            </w:pPr>
            <w:r>
              <w:rPr>
                <w:rFonts w:ascii="Calibri" w:hAnsi="Calibri"/>
                <w:color w:val="0070C0"/>
              </w:rPr>
              <w:t>(</w:t>
            </w:r>
            <w:r w:rsidR="003715CA" w:rsidRPr="003715CA">
              <w:rPr>
                <w:rFonts w:ascii="Calibri" w:hAnsi="Calibri"/>
                <w:color w:val="0070C0"/>
              </w:rPr>
              <w:t>$</w:t>
            </w:r>
            <w:r w:rsidR="007D26A8">
              <w:rPr>
                <w:rFonts w:ascii="Calibri" w:hAnsi="Calibri"/>
                <w:color w:val="0070C0"/>
              </w:rPr>
              <w:t>34,000</w:t>
            </w:r>
            <w:r>
              <w:rPr>
                <w:rFonts w:ascii="Calibri" w:hAnsi="Calibri"/>
                <w:color w:val="0070C0"/>
              </w:rPr>
              <w:t>)</w:t>
            </w:r>
          </w:p>
        </w:tc>
      </w:tr>
      <w:tr w:rsidR="007F05A1" w:rsidRPr="003715CA" w:rsidTr="0019095D">
        <w:trPr>
          <w:trHeight w:val="130"/>
        </w:trPr>
        <w:tc>
          <w:tcPr>
            <w:tcW w:w="3303" w:type="dxa"/>
            <w:tcBorders>
              <w:top w:val="nil"/>
              <w:left w:val="nil"/>
              <w:bottom w:val="nil"/>
              <w:right w:val="nil"/>
            </w:tcBorders>
            <w:shd w:val="clear" w:color="auto" w:fill="auto"/>
            <w:noWrap/>
            <w:vAlign w:val="bottom"/>
          </w:tcPr>
          <w:p w:rsidR="007F05A1" w:rsidRPr="003715CA" w:rsidRDefault="007F05A1" w:rsidP="00853348">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tcPr>
          <w:p w:rsidR="007F05A1" w:rsidRPr="003715CA" w:rsidRDefault="007F05A1"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tcPr>
          <w:p w:rsidR="007F05A1" w:rsidRPr="003715CA" w:rsidRDefault="007F05A1"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tcPr>
          <w:p w:rsidR="007F05A1" w:rsidRPr="003715CA" w:rsidRDefault="007F05A1" w:rsidP="00853348">
            <w:pPr>
              <w:spacing w:before="0" w:line="240" w:lineRule="auto"/>
              <w:rPr>
                <w:rFonts w:ascii="Calibri" w:hAnsi="Calibri"/>
                <w:color w:val="0070C0"/>
              </w:rPr>
            </w:pPr>
          </w:p>
        </w:tc>
      </w:tr>
      <w:tr w:rsidR="007F05A1" w:rsidRPr="003715CA" w:rsidTr="0019095D">
        <w:trPr>
          <w:trHeight w:val="244"/>
        </w:trPr>
        <w:tc>
          <w:tcPr>
            <w:tcW w:w="3303" w:type="dxa"/>
            <w:tcBorders>
              <w:top w:val="nil"/>
              <w:left w:val="nil"/>
              <w:bottom w:val="nil"/>
              <w:right w:val="nil"/>
            </w:tcBorders>
            <w:shd w:val="clear" w:color="auto" w:fill="auto"/>
            <w:noWrap/>
            <w:vAlign w:val="bottom"/>
          </w:tcPr>
          <w:p w:rsidR="007F05A1" w:rsidRPr="003715CA" w:rsidRDefault="0019095D" w:rsidP="00853348">
            <w:pPr>
              <w:spacing w:before="0" w:line="240" w:lineRule="auto"/>
              <w:rPr>
                <w:rFonts w:ascii="Calibri" w:hAnsi="Calibri"/>
                <w:color w:val="0070C0"/>
              </w:rPr>
            </w:pPr>
            <w:r>
              <w:rPr>
                <w:rFonts w:ascii="Calibri" w:hAnsi="Calibri"/>
                <w:color w:val="0070C0"/>
              </w:rPr>
              <w:t>Expense Payment Fringe Benefit</w:t>
            </w:r>
          </w:p>
        </w:tc>
        <w:tc>
          <w:tcPr>
            <w:tcW w:w="260" w:type="dxa"/>
            <w:tcBorders>
              <w:top w:val="nil"/>
              <w:left w:val="nil"/>
              <w:bottom w:val="nil"/>
              <w:right w:val="nil"/>
            </w:tcBorders>
            <w:shd w:val="clear" w:color="auto" w:fill="auto"/>
            <w:noWrap/>
            <w:vAlign w:val="bottom"/>
          </w:tcPr>
          <w:p w:rsidR="007F05A1" w:rsidRPr="003715CA" w:rsidRDefault="007F05A1"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tcPr>
          <w:p w:rsidR="007F05A1" w:rsidRPr="003715CA" w:rsidRDefault="007D26A8" w:rsidP="007D26A8">
            <w:pPr>
              <w:spacing w:before="0" w:line="240" w:lineRule="auto"/>
              <w:jc w:val="right"/>
              <w:rPr>
                <w:rFonts w:ascii="Calibri" w:hAnsi="Calibri"/>
                <w:color w:val="0070C0"/>
              </w:rPr>
            </w:pPr>
            <w:r>
              <w:rPr>
                <w:rFonts w:ascii="Calibri" w:hAnsi="Calibri"/>
                <w:color w:val="0070C0"/>
              </w:rPr>
              <w:t>$0</w:t>
            </w:r>
          </w:p>
        </w:tc>
        <w:tc>
          <w:tcPr>
            <w:tcW w:w="2533" w:type="dxa"/>
            <w:tcBorders>
              <w:top w:val="nil"/>
              <w:left w:val="nil"/>
              <w:bottom w:val="nil"/>
              <w:right w:val="nil"/>
            </w:tcBorders>
            <w:shd w:val="clear" w:color="auto" w:fill="auto"/>
            <w:noWrap/>
            <w:vAlign w:val="bottom"/>
          </w:tcPr>
          <w:p w:rsidR="007F05A1" w:rsidRPr="003715CA" w:rsidRDefault="007D26A8" w:rsidP="007D26A8">
            <w:pPr>
              <w:spacing w:before="0" w:line="240" w:lineRule="auto"/>
              <w:jc w:val="right"/>
              <w:rPr>
                <w:rFonts w:ascii="Calibri" w:hAnsi="Calibri"/>
                <w:color w:val="0070C0"/>
              </w:rPr>
            </w:pPr>
            <w:r>
              <w:rPr>
                <w:rFonts w:ascii="Calibri" w:hAnsi="Calibri"/>
                <w:color w:val="0070C0"/>
              </w:rPr>
              <w:t>$15,900</w:t>
            </w:r>
          </w:p>
        </w:tc>
      </w:tr>
      <w:tr w:rsidR="003715CA" w:rsidRPr="003715CA" w:rsidTr="0019095D">
        <w:trPr>
          <w:trHeight w:val="130"/>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r>
      <w:tr w:rsidR="003715CA" w:rsidRPr="003715CA" w:rsidTr="0019095D">
        <w:trPr>
          <w:trHeight w:val="244"/>
        </w:trPr>
        <w:tc>
          <w:tcPr>
            <w:tcW w:w="3563" w:type="dxa"/>
            <w:gridSpan w:val="2"/>
            <w:tcBorders>
              <w:top w:val="nil"/>
              <w:left w:val="nil"/>
              <w:bottom w:val="nil"/>
              <w:right w:val="nil"/>
            </w:tcBorders>
            <w:shd w:val="clear" w:color="auto" w:fill="auto"/>
            <w:noWrap/>
            <w:vAlign w:val="bottom"/>
            <w:hideMark/>
          </w:tcPr>
          <w:p w:rsidR="003715CA" w:rsidRPr="003715CA" w:rsidRDefault="0019095D" w:rsidP="007F05A1">
            <w:pPr>
              <w:spacing w:before="0" w:line="240" w:lineRule="auto"/>
              <w:rPr>
                <w:rFonts w:ascii="Calibri" w:hAnsi="Calibri"/>
                <w:color w:val="0070C0"/>
              </w:rPr>
            </w:pPr>
            <w:r>
              <w:rPr>
                <w:rFonts w:ascii="Calibri" w:hAnsi="Calibri"/>
                <w:color w:val="0070C0"/>
              </w:rPr>
              <w:t>Surplus</w:t>
            </w:r>
            <w:r w:rsidR="003715CA" w:rsidRPr="003715CA">
              <w:rPr>
                <w:rFonts w:ascii="Calibri" w:hAnsi="Calibri"/>
                <w:color w:val="0070C0"/>
              </w:rPr>
              <w:t xml:space="preserve"> Cash Available</w:t>
            </w:r>
          </w:p>
        </w:tc>
        <w:tc>
          <w:tcPr>
            <w:tcW w:w="2551" w:type="dxa"/>
            <w:tcBorders>
              <w:top w:val="nil"/>
              <w:left w:val="nil"/>
              <w:bottom w:val="nil"/>
              <w:right w:val="nil"/>
            </w:tcBorders>
            <w:shd w:val="clear" w:color="auto" w:fill="auto"/>
            <w:noWrap/>
            <w:vAlign w:val="bottom"/>
            <w:hideMark/>
          </w:tcPr>
          <w:p w:rsidR="003715CA" w:rsidRPr="003715CA" w:rsidRDefault="003715CA" w:rsidP="007D26A8">
            <w:pPr>
              <w:spacing w:before="0" w:line="240" w:lineRule="auto"/>
              <w:jc w:val="right"/>
              <w:rPr>
                <w:rFonts w:ascii="Calibri" w:hAnsi="Calibri"/>
                <w:color w:val="0070C0"/>
              </w:rPr>
            </w:pPr>
            <w:r w:rsidRPr="003715CA">
              <w:rPr>
                <w:rFonts w:ascii="Calibri" w:hAnsi="Calibri"/>
                <w:color w:val="0070C0"/>
              </w:rPr>
              <w:t>$</w:t>
            </w:r>
            <w:r w:rsidR="007D26A8">
              <w:rPr>
                <w:rFonts w:ascii="Calibri" w:hAnsi="Calibri"/>
                <w:color w:val="0070C0"/>
              </w:rPr>
              <w:t>8,093</w:t>
            </w:r>
          </w:p>
        </w:tc>
        <w:tc>
          <w:tcPr>
            <w:tcW w:w="2533" w:type="dxa"/>
            <w:tcBorders>
              <w:top w:val="nil"/>
              <w:left w:val="nil"/>
              <w:bottom w:val="nil"/>
              <w:right w:val="nil"/>
            </w:tcBorders>
            <w:shd w:val="clear" w:color="auto" w:fill="auto"/>
            <w:noWrap/>
            <w:vAlign w:val="bottom"/>
            <w:hideMark/>
          </w:tcPr>
          <w:p w:rsidR="003715CA" w:rsidRPr="003715CA" w:rsidRDefault="003715CA" w:rsidP="007D26A8">
            <w:pPr>
              <w:spacing w:before="0" w:line="240" w:lineRule="auto"/>
              <w:jc w:val="right"/>
              <w:rPr>
                <w:rFonts w:ascii="Calibri" w:hAnsi="Calibri"/>
                <w:color w:val="0070C0"/>
              </w:rPr>
            </w:pPr>
            <w:r w:rsidRPr="003715CA">
              <w:rPr>
                <w:rFonts w:ascii="Calibri" w:hAnsi="Calibri"/>
                <w:color w:val="0070C0"/>
              </w:rPr>
              <w:t>$</w:t>
            </w:r>
            <w:r w:rsidR="007D26A8">
              <w:rPr>
                <w:rFonts w:ascii="Calibri" w:hAnsi="Calibri"/>
                <w:color w:val="0070C0"/>
              </w:rPr>
              <w:t>13,788.50</w:t>
            </w:r>
          </w:p>
        </w:tc>
      </w:tr>
      <w:tr w:rsidR="003715CA" w:rsidRPr="003715CA" w:rsidTr="0019095D">
        <w:trPr>
          <w:trHeight w:val="130"/>
        </w:trPr>
        <w:tc>
          <w:tcPr>
            <w:tcW w:w="330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60"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r>
      <w:tr w:rsidR="003715CA" w:rsidRPr="003715CA" w:rsidTr="0019095D">
        <w:trPr>
          <w:trHeight w:val="244"/>
        </w:trPr>
        <w:tc>
          <w:tcPr>
            <w:tcW w:w="3563" w:type="dxa"/>
            <w:gridSpan w:val="2"/>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b/>
                <w:bCs/>
                <w:color w:val="0070C0"/>
              </w:rPr>
            </w:pPr>
            <w:r w:rsidRPr="003715CA">
              <w:rPr>
                <w:rFonts w:ascii="Calibri" w:hAnsi="Calibri"/>
                <w:b/>
                <w:bCs/>
                <w:color w:val="0070C0"/>
              </w:rPr>
              <w:t>Net Benefit with Salary Packaging</w:t>
            </w:r>
          </w:p>
        </w:tc>
        <w:tc>
          <w:tcPr>
            <w:tcW w:w="2551" w:type="dxa"/>
            <w:tcBorders>
              <w:top w:val="nil"/>
              <w:left w:val="nil"/>
              <w:bottom w:val="nil"/>
              <w:right w:val="nil"/>
            </w:tcBorders>
            <w:shd w:val="clear" w:color="auto" w:fill="auto"/>
            <w:noWrap/>
            <w:vAlign w:val="bottom"/>
            <w:hideMark/>
          </w:tcPr>
          <w:p w:rsidR="003715CA" w:rsidRPr="003715CA" w:rsidRDefault="003715CA" w:rsidP="00853348">
            <w:pPr>
              <w:spacing w:before="0" w:line="240" w:lineRule="auto"/>
              <w:rPr>
                <w:rFonts w:ascii="Calibri" w:hAnsi="Calibri"/>
                <w:color w:val="0070C0"/>
              </w:rPr>
            </w:pPr>
          </w:p>
        </w:tc>
        <w:tc>
          <w:tcPr>
            <w:tcW w:w="2533" w:type="dxa"/>
            <w:tcBorders>
              <w:top w:val="nil"/>
              <w:left w:val="nil"/>
              <w:bottom w:val="nil"/>
              <w:right w:val="nil"/>
            </w:tcBorders>
            <w:shd w:val="clear" w:color="auto" w:fill="auto"/>
            <w:noWrap/>
            <w:vAlign w:val="bottom"/>
            <w:hideMark/>
          </w:tcPr>
          <w:p w:rsidR="003715CA" w:rsidRPr="003715CA" w:rsidRDefault="003715CA" w:rsidP="007D26A8">
            <w:pPr>
              <w:spacing w:before="0" w:line="240" w:lineRule="auto"/>
              <w:jc w:val="right"/>
              <w:rPr>
                <w:rFonts w:ascii="Calibri" w:hAnsi="Calibri"/>
                <w:b/>
                <w:bCs/>
                <w:color w:val="0070C0"/>
              </w:rPr>
            </w:pPr>
            <w:r w:rsidRPr="003715CA">
              <w:rPr>
                <w:rFonts w:ascii="Calibri" w:hAnsi="Calibri"/>
                <w:b/>
                <w:bCs/>
                <w:color w:val="0070C0"/>
              </w:rPr>
              <w:t>$</w:t>
            </w:r>
            <w:r w:rsidR="007D26A8">
              <w:rPr>
                <w:rFonts w:ascii="Calibri" w:hAnsi="Calibri"/>
                <w:b/>
                <w:bCs/>
                <w:color w:val="0070C0"/>
              </w:rPr>
              <w:t>5,695.50</w:t>
            </w:r>
          </w:p>
        </w:tc>
      </w:tr>
    </w:tbl>
    <w:p w:rsidR="00525A57" w:rsidRPr="003715CA" w:rsidRDefault="00525A57" w:rsidP="00853348">
      <w:pPr>
        <w:spacing w:line="240" w:lineRule="auto"/>
      </w:pPr>
    </w:p>
    <w:p w:rsidR="001942FA" w:rsidRDefault="005323E6" w:rsidP="00102490">
      <w:pPr>
        <w:ind w:left="709"/>
      </w:pPr>
      <w:r>
        <w:t>The $31,177</w:t>
      </w:r>
      <w:r w:rsidR="005F3D77">
        <w:t xml:space="preserve"> exemption applies to each employee in respect of which the employer provides </w:t>
      </w:r>
      <w:r w:rsidR="009E7C12">
        <w:t xml:space="preserve">fringe </w:t>
      </w:r>
      <w:r w:rsidR="005F3D77">
        <w:t xml:space="preserve">benefits. The exemption is not pro-rated and is available regardless of the length of time that an employee is employed during the FBT year. Nor is the exemption limited to a single employer and, therefore, an employee employed by 2 </w:t>
      </w:r>
      <w:r w:rsidR="00EB56C6">
        <w:t>(or more)</w:t>
      </w:r>
      <w:r w:rsidR="005F3D77">
        <w:t xml:space="preserve"> employers can be provided with benefits having a</w:t>
      </w:r>
      <w:r w:rsidR="009E7C12">
        <w:t xml:space="preserve"> grossed-up</w:t>
      </w:r>
      <w:r w:rsidR="005F3D77">
        <w:t xml:space="preserve"> value of up to $3</w:t>
      </w:r>
      <w:r>
        <w:t>1,177</w:t>
      </w:r>
      <w:r w:rsidR="005F3D77">
        <w:t xml:space="preserve"> by </w:t>
      </w:r>
      <w:r w:rsidR="00131B93">
        <w:t>each</w:t>
      </w:r>
      <w:r w:rsidR="005F3D77">
        <w:t xml:space="preserve"> employer without</w:t>
      </w:r>
      <w:r w:rsidR="00EB56C6">
        <w:t xml:space="preserve"> </w:t>
      </w:r>
      <w:r w:rsidR="00131B93">
        <w:t>any</w:t>
      </w:r>
      <w:r w:rsidR="005F3D77">
        <w:t xml:space="preserve"> employer having an FBT liability</w:t>
      </w:r>
      <w:r w:rsidR="00990313" w:rsidRPr="00990313">
        <w:t xml:space="preserve">. </w:t>
      </w:r>
    </w:p>
    <w:p w:rsidR="00D93F85" w:rsidRDefault="00D93F85" w:rsidP="00102490">
      <w:pPr>
        <w:ind w:left="709"/>
      </w:pPr>
      <w:r w:rsidRPr="00D93F85">
        <w:t xml:space="preserve">In order </w:t>
      </w:r>
      <w:r w:rsidR="003932C8">
        <w:t>for a</w:t>
      </w:r>
      <w:r w:rsidR="00EA70F6">
        <w:t xml:space="preserve"> </w:t>
      </w:r>
      <w:r w:rsidRPr="00D93F85">
        <w:t xml:space="preserve">Community Legal Centre to be eligible for the </w:t>
      </w:r>
      <w:r w:rsidR="00EA70F6">
        <w:t xml:space="preserve">$30,000 </w:t>
      </w:r>
      <w:r w:rsidRPr="00D93F85">
        <w:t>FBT exemption</w:t>
      </w:r>
      <w:r w:rsidR="00EA70F6">
        <w:t>, the employer</w:t>
      </w:r>
      <w:r w:rsidRPr="00D93F85">
        <w:t xml:space="preserve"> must be </w:t>
      </w:r>
      <w:r w:rsidR="009E7C12">
        <w:t xml:space="preserve">both </w:t>
      </w:r>
      <w:r>
        <w:t>registered</w:t>
      </w:r>
      <w:r w:rsidR="007E4CD3">
        <w:t xml:space="preserve"> with the Australian Charities and Not-for-profits Commission</w:t>
      </w:r>
      <w:r>
        <w:t xml:space="preserve"> </w:t>
      </w:r>
      <w:r w:rsidR="007E4CD3">
        <w:t>(</w:t>
      </w:r>
      <w:r w:rsidR="007E4CD3" w:rsidRPr="007E4CD3">
        <w:rPr>
          <w:b/>
          <w:i/>
        </w:rPr>
        <w:t>ACNC</w:t>
      </w:r>
      <w:r w:rsidR="007E4CD3">
        <w:t xml:space="preserve">) </w:t>
      </w:r>
      <w:r w:rsidRPr="007E4CD3">
        <w:t>as</w:t>
      </w:r>
      <w:r>
        <w:t xml:space="preserve"> a PBI and </w:t>
      </w:r>
      <w:r w:rsidR="009E7C12">
        <w:t xml:space="preserve">be </w:t>
      </w:r>
      <w:r w:rsidRPr="00D93F85">
        <w:t>endorsed by the Commissioner of Taxation</w:t>
      </w:r>
      <w:r w:rsidR="00AA72E3">
        <w:rPr>
          <w:rStyle w:val="FootnoteReference"/>
        </w:rPr>
        <w:footnoteReference w:id="17"/>
      </w:r>
      <w:r w:rsidRPr="00D93F85">
        <w:t>.</w:t>
      </w:r>
    </w:p>
    <w:p w:rsidR="00EC5653" w:rsidRDefault="00504D59" w:rsidP="00102490">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EB56C6" w:rsidRPr="00EC5653">
        <w:rPr>
          <w:b/>
          <w:color w:val="0070C0"/>
        </w:rPr>
        <w:t>the $3</w:t>
      </w:r>
      <w:r w:rsidR="005323E6">
        <w:rPr>
          <w:b/>
          <w:color w:val="0070C0"/>
        </w:rPr>
        <w:t>1,177</w:t>
      </w:r>
      <w:r w:rsidR="00EB56C6" w:rsidRPr="00EC5653">
        <w:rPr>
          <w:b/>
          <w:color w:val="0070C0"/>
        </w:rPr>
        <w:t xml:space="preserve"> FBT exemption for a PBI applies even where the employee is only employed for part of the FBT year and even where that employee has been provided with benefits v</w:t>
      </w:r>
      <w:r w:rsidR="005323E6">
        <w:rPr>
          <w:b/>
          <w:color w:val="0070C0"/>
        </w:rPr>
        <w:t>alued at up to $31,177</w:t>
      </w:r>
      <w:r w:rsidR="00EB56C6" w:rsidRPr="00EC5653">
        <w:rPr>
          <w:b/>
          <w:color w:val="0070C0"/>
        </w:rPr>
        <w:t xml:space="preserve"> by another PBI employer </w:t>
      </w:r>
      <w:r w:rsidR="00EA70F6" w:rsidRPr="00EC5653">
        <w:rPr>
          <w:b/>
          <w:color w:val="0070C0"/>
        </w:rPr>
        <w:t>during that FBT year</w:t>
      </w:r>
      <w:r w:rsidR="00102490" w:rsidRPr="00EC5653">
        <w:rPr>
          <w:b/>
          <w:color w:val="0070C0"/>
        </w:rPr>
        <w:t>.</w:t>
      </w:r>
    </w:p>
    <w:p w:rsidR="003E22DA" w:rsidRPr="00504D59" w:rsidRDefault="00E24798" w:rsidP="00102490">
      <w:pPr>
        <w:pStyle w:val="AllensHeading2"/>
      </w:pPr>
      <w:bookmarkStart w:id="29" w:name="_Toc437947576"/>
      <w:r w:rsidRPr="00504D59">
        <w:lastRenderedPageBreak/>
        <w:t>FBT rebate</w:t>
      </w:r>
      <w:bookmarkEnd w:id="29"/>
      <w:r w:rsidRPr="00504D59">
        <w:t xml:space="preserve"> </w:t>
      </w:r>
    </w:p>
    <w:p w:rsidR="00AA1592" w:rsidRDefault="00B87198" w:rsidP="00102490">
      <w:pPr>
        <w:ind w:left="709"/>
      </w:pPr>
      <w:r>
        <w:t>If, for whatever reason, a</w:t>
      </w:r>
      <w:r w:rsidR="003E22DA">
        <w:t xml:space="preserve"> Community Legal Centre is not a </w:t>
      </w:r>
      <w:r w:rsidR="009202A0">
        <w:t>PBI</w:t>
      </w:r>
      <w:r w:rsidR="003E22DA">
        <w:t>, but i</w:t>
      </w:r>
      <w:r w:rsidR="00A005C2">
        <w:t>t i</w:t>
      </w:r>
      <w:r w:rsidR="003E22DA">
        <w:t>s a not</w:t>
      </w:r>
      <w:r w:rsidR="009202A0">
        <w:t>-</w:t>
      </w:r>
      <w:r w:rsidR="003E22DA">
        <w:t>for</w:t>
      </w:r>
      <w:r w:rsidR="009202A0">
        <w:t>-</w:t>
      </w:r>
      <w:r w:rsidR="003E22DA">
        <w:t>profit or charitable organisation</w:t>
      </w:r>
      <w:r w:rsidR="00B02234">
        <w:t xml:space="preserve"> that is exempt from income tax</w:t>
      </w:r>
      <w:r w:rsidR="003E22DA">
        <w:t>, it will be entitled to an FBT rebate equal to 4</w:t>
      </w:r>
      <w:r w:rsidR="00623C7F">
        <w:t>9</w:t>
      </w:r>
      <w:r w:rsidR="003E22DA">
        <w:t xml:space="preserve">% of the gross </w:t>
      </w:r>
      <w:r w:rsidR="0007220A">
        <w:t>FBT</w:t>
      </w:r>
      <w:r w:rsidR="003E22DA">
        <w:t xml:space="preserve"> that it is otherwise liable to pay (subject t</w:t>
      </w:r>
      <w:r w:rsidR="00F91FD1">
        <w:t xml:space="preserve">o a </w:t>
      </w:r>
      <w:r w:rsidR="00623C7F">
        <w:t>$31,177</w:t>
      </w:r>
      <w:r w:rsidR="00532910">
        <w:t xml:space="preserve"> </w:t>
      </w:r>
      <w:r w:rsidR="00F91FD1">
        <w:t>capping threshold).</w:t>
      </w:r>
      <w:r w:rsidR="00AA1592">
        <w:t xml:space="preserve"> The FBT rebate is needed because the</w:t>
      </w:r>
      <w:r w:rsidR="00AA1592" w:rsidRPr="00AA1592">
        <w:t xml:space="preserve"> tax deduction for FBT </w:t>
      </w:r>
      <w:r w:rsidR="00AA1592">
        <w:t xml:space="preserve">that an employer must pay is of no use </w:t>
      </w:r>
      <w:r w:rsidR="00D83D68">
        <w:t>where that</w:t>
      </w:r>
      <w:r w:rsidR="00AA1592" w:rsidRPr="00AA1592">
        <w:t xml:space="preserve"> employer</w:t>
      </w:r>
      <w:r w:rsidR="00D83D68">
        <w:t xml:space="preserve"> </w:t>
      </w:r>
      <w:r w:rsidR="00AA1592">
        <w:t>is</w:t>
      </w:r>
      <w:r w:rsidR="00AA1592" w:rsidRPr="00AA1592">
        <w:t xml:space="preserve"> tax-exempt</w:t>
      </w:r>
      <w:r w:rsidR="00AA1592">
        <w:t>.</w:t>
      </w:r>
    </w:p>
    <w:p w:rsidR="00AF55EB" w:rsidRDefault="00AF55EB" w:rsidP="00102490">
      <w:pPr>
        <w:ind w:left="709"/>
      </w:pPr>
      <w:r w:rsidRPr="00AF55EB">
        <w:t>Charities must be</w:t>
      </w:r>
      <w:r w:rsidR="00AB75E3">
        <w:t xml:space="preserve"> both registered with the ACNC and</w:t>
      </w:r>
      <w:r w:rsidRPr="00AF55EB">
        <w:t xml:space="preserve"> endorsed by the Commissioner of Taxation in order to access the FBT rebate</w:t>
      </w:r>
      <w:r w:rsidR="00D83D68">
        <w:t>. O</w:t>
      </w:r>
      <w:r w:rsidR="00AB75E3" w:rsidRPr="00AB75E3">
        <w:t>rganisations that qualify for an FBT rebate are referred to as 'rebatable employers'</w:t>
      </w:r>
      <w:r w:rsidRPr="00AF55EB">
        <w:t>.</w:t>
      </w:r>
      <w:r w:rsidR="00592851">
        <w:t xml:space="preserve"> Certain organisations are not eligible to be a rebatable employer, such as a registered PBI, and are therefore not entitled to the FBT rebate</w:t>
      </w:r>
      <w:r w:rsidR="00990313" w:rsidRPr="00990313">
        <w:t xml:space="preserve">. </w:t>
      </w:r>
    </w:p>
    <w:p w:rsidR="00084D2A" w:rsidRDefault="003E22DA" w:rsidP="00102490">
      <w:pPr>
        <w:ind w:left="709"/>
      </w:pPr>
      <w:r>
        <w:t>The $3</w:t>
      </w:r>
      <w:r w:rsidR="00623C7F">
        <w:t>1,177</w:t>
      </w:r>
      <w:r>
        <w:t xml:space="preserve"> cap applies even if the rebatable employer did not employ the employee for the full FBT year. </w:t>
      </w:r>
      <w:r w:rsidR="0007220A" w:rsidRPr="0007220A">
        <w:t xml:space="preserve">For example, if the total grossed-up value of benefits provided to an employee </w:t>
      </w:r>
      <w:r w:rsidR="0007220A">
        <w:t>was $10</w:t>
      </w:r>
      <w:r w:rsidR="0007220A" w:rsidRPr="0007220A">
        <w:t>,000, a rebate applies to all of the FBT payable for providing these benefits</w:t>
      </w:r>
      <w:r w:rsidR="0007220A">
        <w:t xml:space="preserve"> even if the employee has only been employed for part of the FBT year</w:t>
      </w:r>
      <w:r w:rsidR="0007220A" w:rsidRPr="0007220A">
        <w:t>.</w:t>
      </w:r>
      <w:r w:rsidR="0007220A">
        <w:t xml:space="preserve"> </w:t>
      </w:r>
    </w:p>
    <w:p w:rsidR="003E22DA" w:rsidRDefault="0007220A" w:rsidP="00102490">
      <w:pPr>
        <w:ind w:left="709"/>
      </w:pPr>
      <w:r>
        <w:t xml:space="preserve">On the other hand, if </w:t>
      </w:r>
      <w:r w:rsidR="006E66C7">
        <w:t>the total grossed-up</w:t>
      </w:r>
      <w:r w:rsidRPr="0007220A">
        <w:t xml:space="preserve"> value of fringe benefits provided to an employee is more than $3</w:t>
      </w:r>
      <w:r w:rsidR="00623C7F">
        <w:t>1,177</w:t>
      </w:r>
      <w:r>
        <w:t>,</w:t>
      </w:r>
      <w:r w:rsidRPr="0007220A">
        <w:t xml:space="preserve"> a rebate cannot be claimed for the FBT liability on the excess amount</w:t>
      </w:r>
      <w:r w:rsidR="00F74FE8">
        <w:t xml:space="preserve"> even where</w:t>
      </w:r>
      <w:r>
        <w:t xml:space="preserve"> the employee has been employed for the entire FBT year. </w:t>
      </w:r>
      <w:r w:rsidR="00084D2A">
        <w:t>Therefore, for the FBT year between 1 April 201</w:t>
      </w:r>
      <w:r w:rsidR="00623C7F">
        <w:t>5 and 31 March 2016</w:t>
      </w:r>
      <w:r w:rsidR="00084D2A">
        <w:t xml:space="preserve">, the </w:t>
      </w:r>
      <w:r w:rsidR="00723DA6">
        <w:t xml:space="preserve">maximum </w:t>
      </w:r>
      <w:r w:rsidR="00084D2A">
        <w:t>FBT rebate in this case would equal $</w:t>
      </w:r>
      <w:r w:rsidR="00623C7F">
        <w:t>7,485.60</w:t>
      </w:r>
      <w:r w:rsidR="00F74FE8">
        <w:t xml:space="preserve"> (4</w:t>
      </w:r>
      <w:r w:rsidR="00623C7F">
        <w:t>9</w:t>
      </w:r>
      <w:r w:rsidR="00F74FE8">
        <w:t>% * (4</w:t>
      </w:r>
      <w:r w:rsidR="00623C7F">
        <w:t>9</w:t>
      </w:r>
      <w:r w:rsidR="00F74FE8">
        <w:t>% * $3</w:t>
      </w:r>
      <w:r w:rsidR="00623C7F">
        <w:t>1,177</w:t>
      </w:r>
      <w:r w:rsidR="00F74FE8">
        <w:t>))</w:t>
      </w:r>
      <w:r w:rsidR="00084D2A">
        <w:rPr>
          <w:rStyle w:val="FootnoteReference"/>
        </w:rPr>
        <w:footnoteReference w:id="18"/>
      </w:r>
      <w:r w:rsidR="00F74FE8">
        <w:t>.</w:t>
      </w:r>
      <w:r w:rsidR="00084D2A">
        <w:t xml:space="preserve"> </w:t>
      </w:r>
    </w:p>
    <w:p w:rsidR="00EC5653" w:rsidRDefault="00C55E87" w:rsidP="00102490">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 xml:space="preserve">REMEMBER - </w:t>
      </w:r>
      <w:r w:rsidR="006E66C7" w:rsidRPr="00EC5653">
        <w:rPr>
          <w:b/>
          <w:color w:val="0070C0"/>
        </w:rPr>
        <w:t xml:space="preserve">a Community Legal Centre that is not a PBI, but that is exempt from income tax, is entitled to an FBT rebate </w:t>
      </w:r>
      <w:r w:rsidR="00623C7F">
        <w:rPr>
          <w:b/>
          <w:color w:val="0070C0"/>
        </w:rPr>
        <w:t xml:space="preserve">currently </w:t>
      </w:r>
      <w:r w:rsidR="006E66C7" w:rsidRPr="00EC5653">
        <w:rPr>
          <w:b/>
          <w:color w:val="0070C0"/>
        </w:rPr>
        <w:t>equal to 4</w:t>
      </w:r>
      <w:r w:rsidR="00623C7F">
        <w:rPr>
          <w:b/>
          <w:color w:val="0070C0"/>
        </w:rPr>
        <w:t>9</w:t>
      </w:r>
      <w:r w:rsidR="006E66C7" w:rsidRPr="00EC5653">
        <w:rPr>
          <w:b/>
          <w:color w:val="0070C0"/>
        </w:rPr>
        <w:t>% of</w:t>
      </w:r>
      <w:r w:rsidR="00623C7F">
        <w:rPr>
          <w:b/>
          <w:color w:val="0070C0"/>
        </w:rPr>
        <w:t xml:space="preserve"> the gross FBT (subject to a $31,177</w:t>
      </w:r>
      <w:r w:rsidR="006E66C7" w:rsidRPr="00EC5653">
        <w:rPr>
          <w:b/>
          <w:color w:val="0070C0"/>
        </w:rPr>
        <w:t xml:space="preserve"> cap) that the Community Legal Centre is otherwise liable to pay</w:t>
      </w:r>
      <w:r w:rsidR="00102490" w:rsidRPr="00EC5653">
        <w:rPr>
          <w:b/>
          <w:color w:val="0070C0"/>
        </w:rPr>
        <w:t>.</w:t>
      </w:r>
    </w:p>
    <w:p w:rsidR="005F3D77" w:rsidRPr="00504D59" w:rsidRDefault="005F3D77" w:rsidP="00102490">
      <w:pPr>
        <w:pStyle w:val="AllensHeading2"/>
      </w:pPr>
      <w:bookmarkStart w:id="30" w:name="_Toc437947577"/>
      <w:r w:rsidRPr="00504D59">
        <w:lastRenderedPageBreak/>
        <w:t>Prepaid employee benefits cards</w:t>
      </w:r>
      <w:bookmarkEnd w:id="30"/>
    </w:p>
    <w:p w:rsidR="000C616D" w:rsidRDefault="005F3D77" w:rsidP="00102490">
      <w:pPr>
        <w:ind w:left="709"/>
      </w:pPr>
      <w:r>
        <w:t xml:space="preserve">A popular way in which a </w:t>
      </w:r>
      <w:r w:rsidR="00F74FE8">
        <w:t>PBI</w:t>
      </w:r>
      <w:r>
        <w:t xml:space="preserve"> can provide its employees with fringe benefits </w:t>
      </w:r>
      <w:r w:rsidR="006E66C7">
        <w:t>with a</w:t>
      </w:r>
      <w:r>
        <w:t xml:space="preserve"> grossed</w:t>
      </w:r>
      <w:r w:rsidR="006E66C7">
        <w:t>-</w:t>
      </w:r>
      <w:r>
        <w:t xml:space="preserve">up value of </w:t>
      </w:r>
      <w:r w:rsidR="006E66C7">
        <w:t xml:space="preserve">up to </w:t>
      </w:r>
      <w:r>
        <w:t>$3</w:t>
      </w:r>
      <w:r w:rsidR="00213B2E">
        <w:t>1,177</w:t>
      </w:r>
      <w:r>
        <w:t xml:space="preserve"> is by providing the employee with the use of a prepaid employee benefits card. </w:t>
      </w:r>
      <w:r w:rsidR="003462EE">
        <w:t>T</w:t>
      </w:r>
      <w:r>
        <w:t>h</w:t>
      </w:r>
      <w:r w:rsidR="00B321C3">
        <w:t xml:space="preserve">is arrangement will involve the employer </w:t>
      </w:r>
      <w:r>
        <w:t>deposit</w:t>
      </w:r>
      <w:r w:rsidR="00B321C3">
        <w:t>ing</w:t>
      </w:r>
      <w:r>
        <w:t xml:space="preserve"> funds into an account </w:t>
      </w:r>
      <w:r w:rsidR="002A712F">
        <w:t xml:space="preserve">that </w:t>
      </w:r>
      <w:r>
        <w:t>the employer has with th</w:t>
      </w:r>
      <w:r w:rsidR="006E66C7">
        <w:t>e</w:t>
      </w:r>
      <w:r>
        <w:t xml:space="preserve"> bank</w:t>
      </w:r>
      <w:r w:rsidR="003462EE">
        <w:t xml:space="preserve"> that provides th</w:t>
      </w:r>
      <w:r w:rsidR="00B321C3">
        <w:t>e</w:t>
      </w:r>
      <w:r w:rsidR="003462EE">
        <w:t xml:space="preserve"> facility</w:t>
      </w:r>
      <w:r>
        <w:t xml:space="preserve"> and </w:t>
      </w:r>
      <w:r w:rsidR="002A712F">
        <w:t xml:space="preserve">this amount will </w:t>
      </w:r>
      <w:r>
        <w:t xml:space="preserve">be loaded onto the </w:t>
      </w:r>
      <w:r w:rsidR="003462EE">
        <w:t xml:space="preserve">employee's </w:t>
      </w:r>
      <w:r w:rsidR="00723DA6">
        <w:t>card (and the bank will charge fees in respect of the arrangement).</w:t>
      </w:r>
    </w:p>
    <w:p w:rsidR="005F3D77" w:rsidRDefault="005F3D77" w:rsidP="00102490">
      <w:pPr>
        <w:ind w:left="709"/>
      </w:pPr>
      <w:r>
        <w:t xml:space="preserve">The employee can then use the card for a range of personal expenses wherever a credit card could otherwise be used. The use of the card </w:t>
      </w:r>
      <w:r w:rsidR="003462EE">
        <w:t>will</w:t>
      </w:r>
      <w:r>
        <w:t xml:space="preserve"> give rise to various types of fringe be</w:t>
      </w:r>
      <w:r w:rsidR="003462EE">
        <w:t>nefits, however</w:t>
      </w:r>
      <w:r>
        <w:t>, provided that the value of the benefits provided to an employee or their associates does not exceed the relevant capping threshold (</w:t>
      </w:r>
      <w:r w:rsidR="003462EE">
        <w:t>currently $3</w:t>
      </w:r>
      <w:r w:rsidR="00213B2E">
        <w:t>1,177</w:t>
      </w:r>
      <w:r w:rsidR="003462EE">
        <w:t>)</w:t>
      </w:r>
      <w:r>
        <w:t>, the benefits will constitute exempt benefits and not trigger an FBT liability for the employer.</w:t>
      </w:r>
    </w:p>
    <w:p w:rsidR="005F3D77" w:rsidRDefault="005F3D77" w:rsidP="00102490">
      <w:pPr>
        <w:ind w:left="709"/>
      </w:pPr>
      <w:r>
        <w:t xml:space="preserve">However, it is not </w:t>
      </w:r>
      <w:r w:rsidR="0053638F">
        <w:t>essential</w:t>
      </w:r>
      <w:r>
        <w:t xml:space="preserve"> for an employer to provide an employee with fringe benefits in this way. For example, a simple way in which an employer could provide an e</w:t>
      </w:r>
      <w:r w:rsidR="00B321C3">
        <w:t>mployee with $30,000 of grossed-</w:t>
      </w:r>
      <w:r>
        <w:t xml:space="preserve">up fringe benefits </w:t>
      </w:r>
      <w:r w:rsidR="002A712F">
        <w:t xml:space="preserve">without needing a card of this nature is for the employer </w:t>
      </w:r>
      <w:r>
        <w:t xml:space="preserve">to discharge the employee's home loan </w:t>
      </w:r>
      <w:r w:rsidR="00B321C3">
        <w:t>re</w:t>
      </w:r>
      <w:r>
        <w:t>payment obligations.</w:t>
      </w:r>
    </w:p>
    <w:p w:rsidR="00DF28D6" w:rsidRDefault="00EE3851" w:rsidP="00102490">
      <w:pPr>
        <w:ind w:left="709"/>
      </w:pPr>
      <w:r>
        <w:t>There are</w:t>
      </w:r>
      <w:r w:rsidR="000C616D">
        <w:t xml:space="preserve"> also</w:t>
      </w:r>
      <w:r>
        <w:t xml:space="preserve"> other types of arrangements and cards</w:t>
      </w:r>
      <w:r w:rsidR="00DF28D6">
        <w:t xml:space="preserve"> </w:t>
      </w:r>
      <w:r w:rsidR="000C616D">
        <w:t>that</w:t>
      </w:r>
      <w:r w:rsidR="004A0428">
        <w:t xml:space="preserve"> salary packaging service providers</w:t>
      </w:r>
      <w:r w:rsidR="00DF28D6">
        <w:t xml:space="preserve"> </w:t>
      </w:r>
      <w:r w:rsidR="000C616D">
        <w:t>offer</w:t>
      </w:r>
      <w:r w:rsidR="00723DA6">
        <w:t xml:space="preserve"> (for a fee) </w:t>
      </w:r>
      <w:r w:rsidR="00DF28D6">
        <w:t>in relation to meal entertainment</w:t>
      </w:r>
      <w:r>
        <w:t xml:space="preserve"> and entertainment facility leasing expenses</w:t>
      </w:r>
      <w:r w:rsidR="004A0428">
        <w:t>. This type of</w:t>
      </w:r>
      <w:r>
        <w:t xml:space="preserve"> arrangement or</w:t>
      </w:r>
      <w:r w:rsidR="004A0428">
        <w:t xml:space="preserve"> card can provide additional benefits to employees of Communit</w:t>
      </w:r>
      <w:r w:rsidR="00B321C3">
        <w:t xml:space="preserve">y Legal Centres, even where an </w:t>
      </w:r>
      <w:r w:rsidR="004A0428">
        <w:t xml:space="preserve">employee has already salary sacrificed benefits </w:t>
      </w:r>
      <w:r w:rsidR="000C616D">
        <w:t>up to the relevant cap.</w:t>
      </w:r>
      <w:r>
        <w:t xml:space="preserve"> This is </w:t>
      </w:r>
      <w:r w:rsidR="004A0428">
        <w:t>because</w:t>
      </w:r>
      <w:r w:rsidR="00213B2E">
        <w:t>, currently,</w:t>
      </w:r>
      <w:r w:rsidR="004A0428">
        <w:t xml:space="preserve"> the value of meal entertainment benefits</w:t>
      </w:r>
      <w:r>
        <w:t xml:space="preserve"> </w:t>
      </w:r>
      <w:r w:rsidR="004A0428">
        <w:t xml:space="preserve">provided to the employee </w:t>
      </w:r>
      <w:r w:rsidRPr="00EE3851">
        <w:t xml:space="preserve">and entertainment facility leasing expenses </w:t>
      </w:r>
      <w:r>
        <w:t>are</w:t>
      </w:r>
      <w:r w:rsidR="004A0428">
        <w:t xml:space="preserve"> excluded from the employer's fringe benefits taxable amount (</w:t>
      </w:r>
      <w:r w:rsidR="004A0428" w:rsidRPr="0053638F">
        <w:rPr>
          <w:i/>
        </w:rPr>
        <w:t xml:space="preserve">see </w:t>
      </w:r>
      <w:r w:rsidR="00B321C3" w:rsidRPr="0053638F">
        <w:rPr>
          <w:i/>
        </w:rPr>
        <w:t xml:space="preserve">heading </w:t>
      </w:r>
      <w:fldSimple w:instr=" REF _Ref411760661 \r \h  \* MERGEFORMAT ">
        <w:r w:rsidR="000419E4">
          <w:rPr>
            <w:i/>
          </w:rPr>
          <w:t>2.14</w:t>
        </w:r>
      </w:fldSimple>
      <w:r w:rsidR="004A0428">
        <w:t>)</w:t>
      </w:r>
      <w:r w:rsidR="004D5161">
        <w:rPr>
          <w:rStyle w:val="FootnoteReference"/>
        </w:rPr>
        <w:footnoteReference w:id="19"/>
      </w:r>
      <w:r w:rsidR="00723DA6">
        <w:t>.</w:t>
      </w:r>
    </w:p>
    <w:p w:rsidR="00EC5653" w:rsidRDefault="00504D59" w:rsidP="00102490">
      <w:pPr>
        <w:ind w:left="709"/>
        <w:rPr>
          <w:b/>
          <w:color w:val="0070C0"/>
        </w:rPr>
        <w:sectPr w:rsidR="00EC5653" w:rsidSect="00990313">
          <w:pgSz w:w="11907" w:h="16839" w:code="9"/>
          <w:pgMar w:top="1701" w:right="1134" w:bottom="1134" w:left="1417" w:header="567" w:footer="567" w:gutter="0"/>
          <w:cols w:space="720"/>
          <w:titlePg/>
          <w:docGrid w:linePitch="272"/>
        </w:sectPr>
      </w:pPr>
      <w:r w:rsidRPr="00EC5653">
        <w:rPr>
          <w:b/>
          <w:color w:val="0070C0"/>
        </w:rPr>
        <w:t>REMEMBER –</w:t>
      </w:r>
      <w:r w:rsidR="00B321C3" w:rsidRPr="00EC5653">
        <w:rPr>
          <w:b/>
          <w:color w:val="0070C0"/>
        </w:rPr>
        <w:t xml:space="preserve"> banks and salary packaging service providers offer a variety of cards and arrangements that can help a PBI to provide its employees with</w:t>
      </w:r>
      <w:r w:rsidR="0053638F" w:rsidRPr="00EC5653">
        <w:rPr>
          <w:b/>
          <w:color w:val="0070C0"/>
        </w:rPr>
        <w:t xml:space="preserve"> FBT</w:t>
      </w:r>
      <w:r w:rsidR="00B321C3" w:rsidRPr="00EC5653">
        <w:rPr>
          <w:b/>
          <w:color w:val="0070C0"/>
        </w:rPr>
        <w:t xml:space="preserve"> exempt and excluded benefits, however, it is not </w:t>
      </w:r>
      <w:r w:rsidR="0053638F" w:rsidRPr="00EC5653">
        <w:rPr>
          <w:b/>
          <w:color w:val="0070C0"/>
        </w:rPr>
        <w:t>essential</w:t>
      </w:r>
      <w:r w:rsidR="00B321C3" w:rsidRPr="00EC5653">
        <w:rPr>
          <w:b/>
          <w:color w:val="0070C0"/>
        </w:rPr>
        <w:t xml:space="preserve"> for an employer</w:t>
      </w:r>
      <w:r w:rsidR="0053638F" w:rsidRPr="00EC5653">
        <w:rPr>
          <w:b/>
          <w:color w:val="0070C0"/>
        </w:rPr>
        <w:t xml:space="preserve"> to provide fringe benefits in this way</w:t>
      </w:r>
      <w:r w:rsidR="00102490" w:rsidRPr="00EC5653">
        <w:rPr>
          <w:b/>
          <w:color w:val="0070C0"/>
        </w:rPr>
        <w:t>.</w:t>
      </w:r>
    </w:p>
    <w:p w:rsidR="002E1700" w:rsidRPr="00504D59" w:rsidRDefault="002E1700" w:rsidP="00102490">
      <w:pPr>
        <w:pStyle w:val="AllensHeading2"/>
      </w:pPr>
      <w:bookmarkStart w:id="31" w:name="_Toc437947578"/>
      <w:r w:rsidRPr="00504D59">
        <w:lastRenderedPageBreak/>
        <w:t>Record-keeping</w:t>
      </w:r>
      <w:bookmarkEnd w:id="31"/>
    </w:p>
    <w:p w:rsidR="002E1700" w:rsidRDefault="002E1700" w:rsidP="00102490">
      <w:pPr>
        <w:ind w:left="709"/>
      </w:pPr>
      <w:r>
        <w:t xml:space="preserve">An employer must retain evidence to support the calculation of its </w:t>
      </w:r>
      <w:r w:rsidR="0050783C">
        <w:t xml:space="preserve">FBT </w:t>
      </w:r>
      <w:r>
        <w:t xml:space="preserve">liability </w:t>
      </w:r>
      <w:r w:rsidR="00DA6927">
        <w:t>(including any declarations made by</w:t>
      </w:r>
      <w:r w:rsidR="0099684D">
        <w:t xml:space="preserve"> the employer or its employees), gene</w:t>
      </w:r>
      <w:r w:rsidR="0099684D" w:rsidRPr="0099684D">
        <w:t xml:space="preserve">rally for </w:t>
      </w:r>
      <w:r w:rsidR="0099684D">
        <w:t>a period of 5 years, a</w:t>
      </w:r>
      <w:r>
        <w:t>nd</w:t>
      </w:r>
      <w:r w:rsidR="0050783C">
        <w:t xml:space="preserve"> the employer</w:t>
      </w:r>
      <w:r>
        <w:t xml:space="preserve"> is required to retain records showing the taxable value of certain </w:t>
      </w:r>
      <w:r w:rsidR="00DA6927">
        <w:t xml:space="preserve">reportable </w:t>
      </w:r>
      <w:r>
        <w:t xml:space="preserve">benefits provided to its employees. This reporting obligation applies even if an employer is not liable to pay </w:t>
      </w:r>
      <w:r w:rsidR="0050783C">
        <w:t>FBT</w:t>
      </w:r>
      <w:r>
        <w:t xml:space="preserve"> and exists irrespective of whether the</w:t>
      </w:r>
      <w:r w:rsidR="0050783C">
        <w:t>se</w:t>
      </w:r>
      <w:r>
        <w:t xml:space="preserve"> benefit</w:t>
      </w:r>
      <w:r w:rsidR="0050783C">
        <w:t>s</w:t>
      </w:r>
      <w:r>
        <w:t xml:space="preserve"> may otherwise be exempt from FBT. However, there are certain 'excluded fringe benefits' that are not subject to thes</w:t>
      </w:r>
      <w:r w:rsidR="0050783C">
        <w:t>e reporting requirements</w:t>
      </w:r>
      <w:r w:rsidR="0050783C">
        <w:rPr>
          <w:rStyle w:val="FootnoteReference"/>
        </w:rPr>
        <w:footnoteReference w:id="20"/>
      </w:r>
      <w:r>
        <w:t>.</w:t>
      </w:r>
    </w:p>
    <w:p w:rsidR="002E1700" w:rsidRDefault="002E1700" w:rsidP="00102490">
      <w:pPr>
        <w:ind w:left="709"/>
      </w:pPr>
      <w:r>
        <w:t xml:space="preserve">The grossed-up </w:t>
      </w:r>
      <w:r w:rsidR="00185C0F">
        <w:t xml:space="preserve">'reportable </w:t>
      </w:r>
      <w:r>
        <w:t>fringe benefits</w:t>
      </w:r>
      <w:r w:rsidR="00A238AF">
        <w:t xml:space="preserve"> amount</w:t>
      </w:r>
      <w:r w:rsidR="00185C0F">
        <w:t>'</w:t>
      </w:r>
      <w:r w:rsidR="00A238AF">
        <w:t xml:space="preserve"> of an employee</w:t>
      </w:r>
      <w:r>
        <w:t>, including the notional value of any exempt benefits</w:t>
      </w:r>
      <w:r w:rsidR="00E7310A">
        <w:rPr>
          <w:rStyle w:val="FootnoteReference"/>
        </w:rPr>
        <w:footnoteReference w:id="21"/>
      </w:r>
      <w:r>
        <w:t xml:space="preserve">, </w:t>
      </w:r>
      <w:r w:rsidR="00A238AF">
        <w:t>is required to be recorded on that</w:t>
      </w:r>
      <w:r>
        <w:t xml:space="preserve"> employee's payment summary except where the value of the employee's 'individual fringe benefits amount' is less than $2,000. In other words, if the grossed-up value of fringe benefits provided to an employee (using the 1.8</w:t>
      </w:r>
      <w:r w:rsidR="0050783C">
        <w:t>868</w:t>
      </w:r>
      <w:r>
        <w:t xml:space="preserve"> gross-up factor), other than excluded fringe benefits, is less than $3,7</w:t>
      </w:r>
      <w:r w:rsidR="0056287B">
        <w:t>73.60</w:t>
      </w:r>
      <w:r>
        <w:t xml:space="preserve">, reporting is not required. Although these reported amounts are not included in the employee's assessable income, they are taken into account for the purposes of certain income tests for various government benefits and surcharges (including the Medicare levy surcharge, superannuation co-contribution and child support obligations). </w:t>
      </w:r>
    </w:p>
    <w:p w:rsidR="002E1700" w:rsidRDefault="0056287B" w:rsidP="00102490">
      <w:pPr>
        <w:ind w:left="709"/>
      </w:pPr>
      <w:r>
        <w:t>Some of the</w:t>
      </w:r>
      <w:r w:rsidR="002E1700">
        <w:t xml:space="preserve"> benefits that are excluded from </w:t>
      </w:r>
      <w:r w:rsidR="002A712F">
        <w:t xml:space="preserve">this </w:t>
      </w:r>
      <w:r w:rsidR="002E1700">
        <w:t>reporting requirement include</w:t>
      </w:r>
      <w:r w:rsidR="0006422B">
        <w:t xml:space="preserve"> </w:t>
      </w:r>
      <w:r w:rsidR="00EB1C16">
        <w:t>(</w:t>
      </w:r>
      <w:r w:rsidR="00EB1C16" w:rsidRPr="00EB1C16">
        <w:rPr>
          <w:i/>
        </w:rPr>
        <w:t xml:space="preserve">see heading </w:t>
      </w:r>
      <w:fldSimple w:instr=" REF _Ref411753600 \r \h  \* MERGEFORMAT ">
        <w:r w:rsidR="000419E4">
          <w:rPr>
            <w:i/>
          </w:rPr>
          <w:t>2.14</w:t>
        </w:r>
      </w:fldSimple>
      <w:r w:rsidR="00EB1C16">
        <w:t>)</w:t>
      </w:r>
      <w:r w:rsidR="0006422B">
        <w:rPr>
          <w:rStyle w:val="FootnoteReference"/>
        </w:rPr>
        <w:footnoteReference w:id="22"/>
      </w:r>
      <w:r w:rsidR="002E1700">
        <w:t>:</w:t>
      </w:r>
    </w:p>
    <w:p w:rsidR="002E1700" w:rsidRDefault="002E1700" w:rsidP="00102490">
      <w:pPr>
        <w:pStyle w:val="Bullet2"/>
      </w:pPr>
      <w:r>
        <w:t>car parking fringe benefits;</w:t>
      </w:r>
    </w:p>
    <w:p w:rsidR="002E1700" w:rsidRDefault="002E1700" w:rsidP="00102490">
      <w:pPr>
        <w:pStyle w:val="Bullet2"/>
      </w:pPr>
      <w:r>
        <w:t>fringe benefits attributable to entertainment facility leasing expenses</w:t>
      </w:r>
      <w:r w:rsidR="00AC6DAF">
        <w:t xml:space="preserve"> – this </w:t>
      </w:r>
      <w:r w:rsidR="0056287B">
        <w:t>includes</w:t>
      </w:r>
      <w:r w:rsidR="00AC6DAF">
        <w:t xml:space="preserve"> expenses incurred in leasing or hiring a corporate box or a boat, plane or other premises or facilities for the purpose of providing entertainment</w:t>
      </w:r>
      <w:r>
        <w:t>;</w:t>
      </w:r>
    </w:p>
    <w:p w:rsidR="002E1700" w:rsidRDefault="002E1700" w:rsidP="00102490">
      <w:pPr>
        <w:pStyle w:val="Bullet2"/>
      </w:pPr>
      <w:r>
        <w:t>entertainment by way of food or drink and accommodation, travel or reimbursement of expenses related to that entertainment</w:t>
      </w:r>
      <w:r w:rsidR="00EB1C16">
        <w:t xml:space="preserve"> (ie, paying for your meal at a restaurant)</w:t>
      </w:r>
      <w:r>
        <w:t>; and</w:t>
      </w:r>
    </w:p>
    <w:p w:rsidR="002E1700" w:rsidRDefault="002E1700" w:rsidP="00102490">
      <w:pPr>
        <w:pStyle w:val="Bullet2"/>
      </w:pPr>
      <w:r>
        <w:t xml:space="preserve">a variety of benefits relating to employees in remote areas. </w:t>
      </w:r>
    </w:p>
    <w:p w:rsidR="00D96325" w:rsidRDefault="00504D59" w:rsidP="00102490">
      <w:pPr>
        <w:ind w:left="709"/>
        <w:rPr>
          <w:b/>
          <w:color w:val="0070C0"/>
        </w:rPr>
        <w:sectPr w:rsidR="00D96325" w:rsidSect="00990313">
          <w:pgSz w:w="11907" w:h="16839" w:code="9"/>
          <w:pgMar w:top="1701" w:right="1134" w:bottom="1134" w:left="1417" w:header="567" w:footer="567" w:gutter="0"/>
          <w:cols w:space="720"/>
          <w:titlePg/>
          <w:docGrid w:linePitch="272"/>
        </w:sectPr>
      </w:pPr>
      <w:r w:rsidRPr="00D96325">
        <w:rPr>
          <w:b/>
          <w:color w:val="0070C0"/>
        </w:rPr>
        <w:t xml:space="preserve">REMEMBER – </w:t>
      </w:r>
      <w:r w:rsidR="00F3040A" w:rsidRPr="00D96325">
        <w:rPr>
          <w:b/>
          <w:color w:val="0070C0"/>
        </w:rPr>
        <w:t>an employer must retain evidence to support the calculation of its FBT liability and other records showing the taxable value of benefits provided to its employees (other than certain excluded fringe benefits) that must be reported on each employee's payment summary</w:t>
      </w:r>
      <w:r w:rsidR="00102490" w:rsidRPr="00D96325">
        <w:rPr>
          <w:b/>
          <w:color w:val="0070C0"/>
        </w:rPr>
        <w:t>.</w:t>
      </w:r>
    </w:p>
    <w:p w:rsidR="002E1700" w:rsidRPr="00504D59" w:rsidRDefault="00E55E74" w:rsidP="00102490">
      <w:pPr>
        <w:pStyle w:val="AllensHeading2"/>
      </w:pPr>
      <w:bookmarkStart w:id="32" w:name="_Ref411753600"/>
      <w:bookmarkStart w:id="33" w:name="_Ref411755285"/>
      <w:bookmarkStart w:id="34" w:name="_Ref411758766"/>
      <w:bookmarkStart w:id="35" w:name="_Ref411760661"/>
      <w:bookmarkStart w:id="36" w:name="_Ref411761517"/>
      <w:bookmarkStart w:id="37" w:name="_Toc437947579"/>
      <w:r w:rsidRPr="00504D59">
        <w:lastRenderedPageBreak/>
        <w:t xml:space="preserve">Excluded </w:t>
      </w:r>
      <w:r w:rsidR="00EB0C0A">
        <w:t xml:space="preserve">fringe </w:t>
      </w:r>
      <w:r w:rsidRPr="00504D59">
        <w:t>benefits</w:t>
      </w:r>
      <w:bookmarkEnd w:id="32"/>
      <w:bookmarkEnd w:id="33"/>
      <w:bookmarkEnd w:id="34"/>
      <w:bookmarkEnd w:id="35"/>
      <w:bookmarkEnd w:id="36"/>
      <w:bookmarkEnd w:id="37"/>
    </w:p>
    <w:p w:rsidR="00CA6CCC" w:rsidRDefault="00AC1D3D" w:rsidP="00102490">
      <w:pPr>
        <w:ind w:left="709"/>
      </w:pPr>
      <w:r>
        <w:t>I</w:t>
      </w:r>
      <w:r w:rsidRPr="00AC1D3D">
        <w:t xml:space="preserve">n addition to </w:t>
      </w:r>
      <w:r w:rsidR="00865671">
        <w:t xml:space="preserve">currently </w:t>
      </w:r>
      <w:r w:rsidRPr="00AC1D3D">
        <w:t>being excluded benefits for reporting purposes</w:t>
      </w:r>
      <w:r>
        <w:t>, t</w:t>
      </w:r>
      <w:r w:rsidRPr="00AC1D3D">
        <w:t xml:space="preserve">he provision of benefits </w:t>
      </w:r>
      <w:r>
        <w:t xml:space="preserve">by a Community Legal Centre </w:t>
      </w:r>
      <w:r w:rsidRPr="00AC1D3D">
        <w:t>that constitute the p</w:t>
      </w:r>
      <w:r>
        <w:t>rovision of meal entertainment (</w:t>
      </w:r>
      <w:r w:rsidRPr="00AC1D3D">
        <w:t>whether or not the employer elected to value the benefits as meal entertainment fringe benefits</w:t>
      </w:r>
      <w:r>
        <w:t>)</w:t>
      </w:r>
      <w:r w:rsidR="00EB1C16">
        <w:rPr>
          <w:rStyle w:val="FootnoteReference"/>
        </w:rPr>
        <w:footnoteReference w:id="23"/>
      </w:r>
      <w:r>
        <w:t>, e</w:t>
      </w:r>
      <w:r w:rsidRPr="00AC1D3D">
        <w:t>ntertainment facility leasing expenses</w:t>
      </w:r>
      <w:r>
        <w:t xml:space="preserve"> or c</w:t>
      </w:r>
      <w:r w:rsidRPr="00AC1D3D">
        <w:t xml:space="preserve">ar parking fringe benefits </w:t>
      </w:r>
      <w:r>
        <w:t>are specifically excluded from an employee's individual fringe benefits amount</w:t>
      </w:r>
      <w:r w:rsidR="00865671">
        <w:rPr>
          <w:rStyle w:val="FootnoteReference"/>
        </w:rPr>
        <w:footnoteReference w:id="24"/>
      </w:r>
      <w:r w:rsidR="00DF28D6">
        <w:t>. T</w:t>
      </w:r>
      <w:r>
        <w:t xml:space="preserve">herefore, </w:t>
      </w:r>
      <w:r w:rsidR="00DF28D6">
        <w:t xml:space="preserve">these amounts </w:t>
      </w:r>
      <w:r>
        <w:t xml:space="preserve">are not included when calculating </w:t>
      </w:r>
      <w:r w:rsidR="00EB1C16">
        <w:t xml:space="preserve">whether </w:t>
      </w:r>
      <w:r>
        <w:t>that employe</w:t>
      </w:r>
      <w:r w:rsidR="00E51C90">
        <w:t>e</w:t>
      </w:r>
      <w:r w:rsidR="00865671">
        <w:t>'s $31,177</w:t>
      </w:r>
      <w:r w:rsidR="00DF28D6">
        <w:t xml:space="preserve"> capping threshold</w:t>
      </w:r>
      <w:r w:rsidR="00EB1C16">
        <w:t xml:space="preserve"> has been exceeded</w:t>
      </w:r>
      <w:r w:rsidR="00DF28D6">
        <w:t xml:space="preserve"> and, as such, </w:t>
      </w:r>
      <w:r w:rsidR="00185C0F">
        <w:t>FBT</w:t>
      </w:r>
      <w:r w:rsidR="00DF28D6">
        <w:t xml:space="preserve"> is not payable on the value of these </w:t>
      </w:r>
      <w:r w:rsidR="00185C0F">
        <w:t xml:space="preserve">excluded fringe </w:t>
      </w:r>
      <w:r w:rsidR="00DF28D6">
        <w:t>benefits.</w:t>
      </w:r>
      <w:r w:rsidR="00592567">
        <w:t xml:space="preserve"> </w:t>
      </w:r>
    </w:p>
    <w:p w:rsidR="00EB0C0A" w:rsidRDefault="00592567" w:rsidP="00102490">
      <w:pPr>
        <w:ind w:left="709"/>
      </w:pPr>
      <w:r>
        <w:t>In other words</w:t>
      </w:r>
      <w:r w:rsidR="00CE7F3E">
        <w:t xml:space="preserve">, if a Community Legal Centre, pursuant to an effective salary sacrifice arrangement, permitted an employee to reduce their salary and wages by an amount sufficient to pay for that employee's holiday accommodation, no </w:t>
      </w:r>
      <w:r w:rsidR="00185C0F">
        <w:t>FBT</w:t>
      </w:r>
      <w:r w:rsidR="00CE7F3E">
        <w:t xml:space="preserve"> would be payable when the employer reimbursed the employee for the cost of that accommodation</w:t>
      </w:r>
      <w:r w:rsidR="002A712F">
        <w:t xml:space="preserve"> (even where that employee has already been provided with non-exempt benefits having a </w:t>
      </w:r>
      <w:r w:rsidR="00185C0F">
        <w:t xml:space="preserve">grossed-up </w:t>
      </w:r>
      <w:r w:rsidR="002A712F">
        <w:t>value of $3</w:t>
      </w:r>
      <w:r w:rsidR="00865671">
        <w:t>1,177</w:t>
      </w:r>
      <w:r w:rsidR="002A712F">
        <w:t>)</w:t>
      </w:r>
      <w:r w:rsidR="00CE7F3E">
        <w:t>.</w:t>
      </w:r>
      <w:r w:rsidR="00EA399F">
        <w:t xml:space="preserve"> </w:t>
      </w:r>
      <w:r w:rsidR="003B4842">
        <w:t xml:space="preserve">There is </w:t>
      </w:r>
      <w:r w:rsidR="00865671">
        <w:t xml:space="preserve">currently </w:t>
      </w:r>
      <w:r w:rsidR="003B4842">
        <w:t>no monetary cap on the value of these excluded fringe benefits that an employer can provide to an employee</w:t>
      </w:r>
      <w:r w:rsidR="00865671">
        <w:t xml:space="preserve">, however, commencing on 1 April 2016 a $5,000 grossed-up cap </w:t>
      </w:r>
      <w:r w:rsidR="003C7773">
        <w:t xml:space="preserve">will </w:t>
      </w:r>
      <w:r w:rsidR="00865671">
        <w:t>apply per FBT year in respect of this FBT concession for salary sacrificed meal entertainment and entertainment facility leasing benefits</w:t>
      </w:r>
      <w:r w:rsidR="00990313" w:rsidRPr="00990313">
        <w:t xml:space="preserve">. </w:t>
      </w:r>
    </w:p>
    <w:p w:rsidR="00EA399F" w:rsidRDefault="00EA399F" w:rsidP="00102490">
      <w:pPr>
        <w:ind w:left="709"/>
      </w:pPr>
      <w:r>
        <w:t>Other examples</w:t>
      </w:r>
      <w:r w:rsidR="00CA6CCC">
        <w:t xml:space="preserve"> </w:t>
      </w:r>
      <w:r>
        <w:t xml:space="preserve">that the Commissioner </w:t>
      </w:r>
      <w:r w:rsidR="00EB1C16">
        <w:t xml:space="preserve">of Taxation </w:t>
      </w:r>
      <w:r>
        <w:t xml:space="preserve">accepts constitute </w:t>
      </w:r>
      <w:r w:rsidRPr="00EA399F">
        <w:t>entertainment facility leasing expenses</w:t>
      </w:r>
      <w:r>
        <w:t xml:space="preserve"> are where an </w:t>
      </w:r>
      <w:r w:rsidRPr="00EA399F">
        <w:t xml:space="preserve">employer </w:t>
      </w:r>
      <w:r>
        <w:t xml:space="preserve">reimburses an employee </w:t>
      </w:r>
      <w:r w:rsidRPr="00EA399F">
        <w:t xml:space="preserve">for expenses incurred in hiring a marquee (including </w:t>
      </w:r>
      <w:r>
        <w:t>the costs of set-up and removal) for a</w:t>
      </w:r>
      <w:r w:rsidRPr="00EA399F">
        <w:t xml:space="preserve"> family wedding celebration </w:t>
      </w:r>
      <w:r>
        <w:t xml:space="preserve">at the employee's home and where an </w:t>
      </w:r>
      <w:r w:rsidRPr="00EA399F">
        <w:t>employe</w:t>
      </w:r>
      <w:r>
        <w:t>e hires a private function room</w:t>
      </w:r>
      <w:r w:rsidR="00185C0F">
        <w:t xml:space="preserve"> at a hotel</w:t>
      </w:r>
      <w:r>
        <w:t xml:space="preserve">. </w:t>
      </w:r>
    </w:p>
    <w:p w:rsidR="00EB0C0A" w:rsidRDefault="00CA6CCC" w:rsidP="00102490">
      <w:pPr>
        <w:ind w:left="709"/>
      </w:pPr>
      <w:r>
        <w:t xml:space="preserve">However, the employer and employee must ensure that </w:t>
      </w:r>
      <w:r w:rsidR="00FC554F">
        <w:t xml:space="preserve">the salary sacrifice arrangement is 'effective' because the employer </w:t>
      </w:r>
      <w:r w:rsidR="00EA399F">
        <w:t>is able to</w:t>
      </w:r>
      <w:r w:rsidR="00FC554F">
        <w:t xml:space="preserve"> reduce the amount of </w:t>
      </w:r>
      <w:r w:rsidR="00FC554F" w:rsidRPr="00FC554F">
        <w:t xml:space="preserve">salary </w:t>
      </w:r>
      <w:r w:rsidR="00FC554F">
        <w:t>or</w:t>
      </w:r>
      <w:r w:rsidR="00FC554F" w:rsidRPr="00FC554F">
        <w:t xml:space="preserve"> wages that the employee has yet </w:t>
      </w:r>
      <w:r w:rsidR="00FC554F">
        <w:t xml:space="preserve">to </w:t>
      </w:r>
      <w:r w:rsidR="00FC554F" w:rsidRPr="00FC554F">
        <w:t xml:space="preserve">derive </w:t>
      </w:r>
      <w:r w:rsidR="00EA399F">
        <w:t xml:space="preserve">in the relevant FBT year </w:t>
      </w:r>
      <w:r w:rsidR="00FC554F">
        <w:t xml:space="preserve">by an amount sufficient to reimburse the employee for </w:t>
      </w:r>
      <w:r w:rsidR="00E577DE">
        <w:t>the</w:t>
      </w:r>
      <w:r w:rsidR="002A6CF4">
        <w:t xml:space="preserve"> excluded </w:t>
      </w:r>
      <w:r w:rsidR="00185C0F">
        <w:t xml:space="preserve">fringe </w:t>
      </w:r>
      <w:r w:rsidR="002A6CF4">
        <w:t>benefit in question</w:t>
      </w:r>
      <w:r w:rsidR="00EB1C16">
        <w:t xml:space="preserve"> (</w:t>
      </w:r>
      <w:r w:rsidR="00EB1C16" w:rsidRPr="00EB1C16">
        <w:rPr>
          <w:i/>
        </w:rPr>
        <w:t xml:space="preserve">see heading </w:t>
      </w:r>
      <w:fldSimple w:instr=" REF _Ref411935661 \r \h  \* MERGEFORMAT ">
        <w:r w:rsidR="000419E4">
          <w:rPr>
            <w:i/>
          </w:rPr>
          <w:t>2.5</w:t>
        </w:r>
      </w:fldSimple>
      <w:r w:rsidR="00EB1C16">
        <w:t>)</w:t>
      </w:r>
      <w:r w:rsidR="00E577DE">
        <w:t>.</w:t>
      </w:r>
      <w:r w:rsidR="002A6CF4">
        <w:t xml:space="preserve"> </w:t>
      </w:r>
    </w:p>
    <w:p w:rsidR="00EE3851" w:rsidRDefault="002A6CF4" w:rsidP="00102490">
      <w:pPr>
        <w:ind w:left="709"/>
      </w:pPr>
      <w:r>
        <w:t>On the other hand, an</w:t>
      </w:r>
      <w:r w:rsidR="00D224D4">
        <w:t xml:space="preserve"> arrangement would be ineffective if the employee has already derived all their salary or wages for an income year</w:t>
      </w:r>
      <w:r w:rsidR="002A712F">
        <w:t>.</w:t>
      </w:r>
      <w:r w:rsidR="00D224D4">
        <w:t xml:space="preserve"> </w:t>
      </w:r>
      <w:r w:rsidR="002A712F">
        <w:t xml:space="preserve">In that situation, </w:t>
      </w:r>
      <w:r w:rsidR="00D224D4">
        <w:t xml:space="preserve">the employee would still be taxed on the gross amount of salary or wages even if the </w:t>
      </w:r>
      <w:r w:rsidR="00E55E74">
        <w:t>employee agreed to forgo some part of that amount in return for the employer reimbursing the accommodation expense</w:t>
      </w:r>
      <w:r w:rsidR="00AA1F25">
        <w:t>s</w:t>
      </w:r>
      <w:r w:rsidR="00E55E74">
        <w:t xml:space="preserve">. </w:t>
      </w:r>
    </w:p>
    <w:p w:rsidR="00AC1D3D" w:rsidRDefault="00DF28D6" w:rsidP="00102490">
      <w:pPr>
        <w:ind w:left="709"/>
      </w:pPr>
      <w:r>
        <w:t xml:space="preserve">  </w:t>
      </w:r>
      <w:r w:rsidR="00AC1D3D">
        <w:t xml:space="preserve"> </w:t>
      </w:r>
    </w:p>
    <w:p w:rsidR="00D96325" w:rsidRDefault="00504D59" w:rsidP="00102490">
      <w:pPr>
        <w:ind w:left="709"/>
        <w:rPr>
          <w:b/>
          <w:color w:val="0070C0"/>
        </w:rPr>
        <w:sectPr w:rsidR="00D96325" w:rsidSect="00990313">
          <w:pgSz w:w="11907" w:h="16839" w:code="9"/>
          <w:pgMar w:top="1701" w:right="1134" w:bottom="1134" w:left="1417" w:header="567" w:footer="567" w:gutter="0"/>
          <w:cols w:space="720"/>
          <w:titlePg/>
          <w:docGrid w:linePitch="272"/>
        </w:sectPr>
      </w:pPr>
      <w:r w:rsidRPr="00D96325">
        <w:rPr>
          <w:b/>
          <w:color w:val="0070C0"/>
        </w:rPr>
        <w:t xml:space="preserve">REMEMBER – </w:t>
      </w:r>
      <w:r w:rsidR="00EB1C16">
        <w:rPr>
          <w:b/>
          <w:color w:val="0070C0"/>
        </w:rPr>
        <w:t>a Community Legal Centre</w:t>
      </w:r>
      <w:r w:rsidR="00A238AF" w:rsidRPr="00D96325">
        <w:rPr>
          <w:b/>
          <w:color w:val="0070C0"/>
        </w:rPr>
        <w:t xml:space="preserve"> can provide </w:t>
      </w:r>
      <w:r w:rsidR="00EB1C16">
        <w:rPr>
          <w:b/>
          <w:color w:val="0070C0"/>
        </w:rPr>
        <w:t>an employee</w:t>
      </w:r>
      <w:r w:rsidR="00A238AF" w:rsidRPr="00D96325">
        <w:rPr>
          <w:b/>
          <w:color w:val="0070C0"/>
        </w:rPr>
        <w:t xml:space="preserve"> with excluded fringe benefits in the nature of meal entertainment and entertainment facility leasing expenses </w:t>
      </w:r>
      <w:r w:rsidR="009D4927" w:rsidRPr="00D96325">
        <w:rPr>
          <w:b/>
          <w:color w:val="0070C0"/>
        </w:rPr>
        <w:t>(</w:t>
      </w:r>
      <w:r w:rsidR="00865671">
        <w:rPr>
          <w:b/>
          <w:color w:val="0070C0"/>
        </w:rPr>
        <w:t xml:space="preserve">currently </w:t>
      </w:r>
      <w:r w:rsidR="009D4927" w:rsidRPr="00D96325">
        <w:rPr>
          <w:b/>
          <w:color w:val="0070C0"/>
        </w:rPr>
        <w:t xml:space="preserve">unlimited in value) free of FBT even where </w:t>
      </w:r>
      <w:r w:rsidR="00EB1C16">
        <w:rPr>
          <w:b/>
          <w:color w:val="0070C0"/>
        </w:rPr>
        <w:t>the employee has</w:t>
      </w:r>
      <w:r w:rsidR="009D4927" w:rsidRPr="00D96325">
        <w:rPr>
          <w:b/>
          <w:color w:val="0070C0"/>
        </w:rPr>
        <w:t xml:space="preserve"> already been provided with non-exempt benefits having a grossed-up value of $3</w:t>
      </w:r>
      <w:r w:rsidR="00865671">
        <w:rPr>
          <w:b/>
          <w:color w:val="0070C0"/>
        </w:rPr>
        <w:t>1,177</w:t>
      </w:r>
      <w:r w:rsidR="00102490" w:rsidRPr="00D96325">
        <w:rPr>
          <w:b/>
          <w:color w:val="0070C0"/>
        </w:rPr>
        <w:t>.</w:t>
      </w:r>
    </w:p>
    <w:p w:rsidR="0071265D" w:rsidRPr="00504D59" w:rsidRDefault="0071265D" w:rsidP="00102490">
      <w:pPr>
        <w:pStyle w:val="AllensHeading1"/>
      </w:pPr>
      <w:bookmarkStart w:id="38" w:name="_Toc377664367"/>
      <w:bookmarkStart w:id="39" w:name="_Toc437947580"/>
      <w:r w:rsidRPr="00504D59">
        <w:lastRenderedPageBreak/>
        <w:t xml:space="preserve">Salary </w:t>
      </w:r>
      <w:r w:rsidR="00C15569" w:rsidRPr="00504D59">
        <w:t>p</w:t>
      </w:r>
      <w:r w:rsidRPr="00504D59">
        <w:t xml:space="preserve">ackaging </w:t>
      </w:r>
      <w:r w:rsidR="00C15569" w:rsidRPr="00504D59">
        <w:t>e</w:t>
      </w:r>
      <w:r w:rsidRPr="00504D59">
        <w:t>xample</w:t>
      </w:r>
      <w:bookmarkEnd w:id="38"/>
      <w:r w:rsidR="00C15569" w:rsidRPr="00504D59">
        <w:t>s</w:t>
      </w:r>
      <w:r w:rsidR="009319D9">
        <w:rPr>
          <w:rStyle w:val="FootnoteReference"/>
        </w:rPr>
        <w:footnoteReference w:id="25"/>
      </w:r>
      <w:bookmarkEnd w:id="39"/>
    </w:p>
    <w:p w:rsidR="0071265D" w:rsidRDefault="0071265D" w:rsidP="00102490">
      <w:pPr>
        <w:pStyle w:val="AllensHeading2"/>
      </w:pPr>
      <w:bookmarkStart w:id="40" w:name="_Toc377664368"/>
      <w:bookmarkStart w:id="41" w:name="_Ref411950340"/>
      <w:bookmarkStart w:id="42" w:name="_Toc437947581"/>
      <w:r w:rsidRPr="003B4842">
        <w:t>Employee</w:t>
      </w:r>
      <w:bookmarkEnd w:id="40"/>
      <w:r w:rsidR="00DF66A7">
        <w:t xml:space="preserve"> with a gross salary of $10</w:t>
      </w:r>
      <w:r w:rsidR="003B4842" w:rsidRPr="003B4842">
        <w:t>0,000</w:t>
      </w:r>
      <w:bookmarkEnd w:id="41"/>
      <w:r w:rsidR="00C70FBA">
        <w:rPr>
          <w:rStyle w:val="FootnoteReference"/>
        </w:rPr>
        <w:footnoteReference w:id="26"/>
      </w:r>
      <w:bookmarkEnd w:id="42"/>
    </w:p>
    <w:p w:rsidR="005547D2" w:rsidRPr="00DF66A7" w:rsidRDefault="005547D2" w:rsidP="005547D2">
      <w:pPr>
        <w:rPr>
          <w:color w:val="0070C0"/>
          <w:sz w:val="24"/>
          <w:szCs w:val="24"/>
        </w:rPr>
      </w:pPr>
    </w:p>
    <w:tbl>
      <w:tblPr>
        <w:tblStyle w:val="TableGrid"/>
        <w:tblW w:w="0" w:type="auto"/>
        <w:tblInd w:w="709" w:type="dxa"/>
        <w:tblLook w:val="04A0"/>
      </w:tblPr>
      <w:tblGrid>
        <w:gridCol w:w="8863"/>
      </w:tblGrid>
      <w:tr w:rsidR="008A060B" w:rsidRPr="00DF66A7" w:rsidTr="008A060B">
        <w:tc>
          <w:tcPr>
            <w:tcW w:w="8863" w:type="dxa"/>
          </w:tcPr>
          <w:tbl>
            <w:tblPr>
              <w:tblW w:w="8647" w:type="dxa"/>
              <w:tblLook w:val="04A0"/>
            </w:tblPr>
            <w:tblGrid>
              <w:gridCol w:w="3303"/>
              <w:gridCol w:w="260"/>
              <w:gridCol w:w="2551"/>
              <w:gridCol w:w="2533"/>
            </w:tblGrid>
            <w:tr w:rsidR="00DF66A7" w:rsidRPr="00DF66A7"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DF66A7" w:rsidRDefault="0014220A" w:rsidP="0014220A">
                  <w:pPr>
                    <w:spacing w:before="0" w:line="240" w:lineRule="auto"/>
                    <w:rPr>
                      <w:rFonts w:ascii="Calibri" w:hAnsi="Calibri"/>
                      <w:b/>
                      <w:bCs/>
                      <w:color w:val="0070C0"/>
                      <w:sz w:val="24"/>
                      <w:szCs w:val="24"/>
                    </w:rPr>
                  </w:pPr>
                  <w:r>
                    <w:rPr>
                      <w:rFonts w:ascii="Calibri" w:hAnsi="Calibri"/>
                      <w:b/>
                      <w:bCs/>
                      <w:color w:val="0070C0"/>
                      <w:sz w:val="24"/>
                      <w:szCs w:val="24"/>
                    </w:rPr>
                    <w:t>Tax Savings Calculator (2015</w:t>
                  </w:r>
                  <w:r w:rsidR="008A060B" w:rsidRPr="00DF66A7">
                    <w:rPr>
                      <w:rFonts w:ascii="Calibri" w:hAnsi="Calibri"/>
                      <w:b/>
                      <w:bCs/>
                      <w:color w:val="0070C0"/>
                      <w:sz w:val="24"/>
                      <w:szCs w:val="24"/>
                    </w:rPr>
                    <w:t>/201</w:t>
                  </w:r>
                  <w:r>
                    <w:rPr>
                      <w:rFonts w:ascii="Calibri" w:hAnsi="Calibri"/>
                      <w:b/>
                      <w:bCs/>
                      <w:color w:val="0070C0"/>
                      <w:sz w:val="24"/>
                      <w:szCs w:val="24"/>
                    </w:rPr>
                    <w:t>6</w:t>
                  </w:r>
                  <w:r w:rsidR="008A060B" w:rsidRPr="00DF66A7">
                    <w:rPr>
                      <w:rFonts w:ascii="Calibri" w:hAnsi="Calibri"/>
                      <w:b/>
                      <w:bCs/>
                      <w:color w:val="0070C0"/>
                      <w:sz w:val="24"/>
                      <w:szCs w:val="24"/>
                    </w:rPr>
                    <w:t>)</w:t>
                  </w: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b/>
                      <w:bCs/>
                      <w:color w:val="0070C0"/>
                      <w:sz w:val="24"/>
                      <w:szCs w:val="24"/>
                    </w:rPr>
                  </w:pPr>
                  <w:r w:rsidRPr="00DF66A7">
                    <w:rPr>
                      <w:rFonts w:ascii="Calibri" w:hAnsi="Calibri"/>
                      <w:b/>
                      <w:bCs/>
                      <w:color w:val="0070C0"/>
                      <w:sz w:val="24"/>
                      <w:szCs w:val="24"/>
                    </w:rPr>
                    <w:t>Without Salary Packaging</w:t>
                  </w: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b/>
                      <w:bCs/>
                      <w:color w:val="0070C0"/>
                      <w:sz w:val="24"/>
                      <w:szCs w:val="24"/>
                    </w:rPr>
                  </w:pPr>
                  <w:r w:rsidRPr="00DF66A7">
                    <w:rPr>
                      <w:rFonts w:ascii="Calibri" w:hAnsi="Calibri"/>
                      <w:b/>
                      <w:bCs/>
                      <w:color w:val="0070C0"/>
                      <w:sz w:val="24"/>
                      <w:szCs w:val="24"/>
                    </w:rPr>
                    <w:t>With Salary Packaging</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b/>
                      <w:bCs/>
                      <w:color w:val="0070C0"/>
                      <w:sz w:val="24"/>
                      <w:szCs w:val="24"/>
                    </w:rPr>
                  </w:pPr>
                  <w:r w:rsidRPr="00DF66A7">
                    <w:rPr>
                      <w:rFonts w:ascii="Calibri" w:hAnsi="Calibri"/>
                      <w:b/>
                      <w:bCs/>
                      <w:color w:val="0070C0"/>
                      <w:sz w:val="24"/>
                      <w:szCs w:val="24"/>
                    </w:rPr>
                    <w:t xml:space="preserve">Total Cash Available After Tax </w:t>
                  </w: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E75CF7">
                  <w:pPr>
                    <w:spacing w:before="0" w:line="240" w:lineRule="auto"/>
                    <w:jc w:val="right"/>
                    <w:rPr>
                      <w:rFonts w:ascii="Calibri" w:hAnsi="Calibri"/>
                      <w:b/>
                      <w:bCs/>
                      <w:color w:val="0070C0"/>
                      <w:sz w:val="24"/>
                      <w:szCs w:val="24"/>
                    </w:rPr>
                  </w:pPr>
                  <w:r w:rsidRPr="00DF66A7">
                    <w:rPr>
                      <w:rFonts w:ascii="Calibri" w:hAnsi="Calibri"/>
                      <w:b/>
                      <w:bCs/>
                      <w:color w:val="0070C0"/>
                      <w:sz w:val="24"/>
                      <w:szCs w:val="24"/>
                    </w:rPr>
                    <w:t>$45,253</w:t>
                  </w:r>
                </w:p>
              </w:tc>
              <w:tc>
                <w:tcPr>
                  <w:tcW w:w="2533" w:type="dxa"/>
                  <w:tcBorders>
                    <w:top w:val="nil"/>
                    <w:left w:val="nil"/>
                    <w:bottom w:val="nil"/>
                    <w:right w:val="nil"/>
                  </w:tcBorders>
                  <w:shd w:val="clear" w:color="auto" w:fill="auto"/>
                  <w:noWrap/>
                  <w:vAlign w:val="bottom"/>
                  <w:hideMark/>
                </w:tcPr>
                <w:p w:rsidR="008A060B" w:rsidRPr="00DF66A7" w:rsidRDefault="008A060B" w:rsidP="00864F57">
                  <w:pPr>
                    <w:spacing w:before="0" w:line="240" w:lineRule="auto"/>
                    <w:jc w:val="right"/>
                    <w:rPr>
                      <w:rFonts w:ascii="Calibri" w:hAnsi="Calibri"/>
                      <w:b/>
                      <w:bCs/>
                      <w:color w:val="0070C0"/>
                      <w:sz w:val="24"/>
                      <w:szCs w:val="24"/>
                    </w:rPr>
                  </w:pPr>
                  <w:r w:rsidRPr="00DF66A7">
                    <w:rPr>
                      <w:rFonts w:ascii="Calibri" w:hAnsi="Calibri"/>
                      <w:b/>
                      <w:bCs/>
                      <w:color w:val="0070C0"/>
                      <w:sz w:val="24"/>
                      <w:szCs w:val="24"/>
                    </w:rPr>
                    <w:t>$5</w:t>
                  </w:r>
                  <w:r w:rsidR="00864F57">
                    <w:rPr>
                      <w:rFonts w:ascii="Calibri" w:hAnsi="Calibri"/>
                      <w:b/>
                      <w:bCs/>
                      <w:color w:val="0070C0"/>
                      <w:sz w:val="24"/>
                      <w:szCs w:val="24"/>
                    </w:rPr>
                    <w:t>5</w:t>
                  </w:r>
                  <w:r w:rsidRPr="00DF66A7">
                    <w:rPr>
                      <w:rFonts w:ascii="Calibri" w:hAnsi="Calibri"/>
                      <w:b/>
                      <w:bCs/>
                      <w:color w:val="0070C0"/>
                      <w:sz w:val="24"/>
                      <w:szCs w:val="24"/>
                    </w:rPr>
                    <w:t>,</w:t>
                  </w:r>
                  <w:r w:rsidR="00864F57">
                    <w:rPr>
                      <w:rFonts w:ascii="Calibri" w:hAnsi="Calibri"/>
                      <w:b/>
                      <w:bCs/>
                      <w:color w:val="0070C0"/>
                      <w:sz w:val="24"/>
                      <w:szCs w:val="24"/>
                    </w:rPr>
                    <w:t>744</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r w:rsidRPr="00DF66A7">
                    <w:rPr>
                      <w:rFonts w:ascii="Calibri" w:hAnsi="Calibri"/>
                      <w:color w:val="0070C0"/>
                      <w:sz w:val="24"/>
                      <w:szCs w:val="24"/>
                    </w:rPr>
                    <w:t>Gross/Pre-Tax Salary</w:t>
                  </w: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E75CF7">
                  <w:pPr>
                    <w:spacing w:before="0" w:line="240" w:lineRule="auto"/>
                    <w:jc w:val="right"/>
                    <w:rPr>
                      <w:rFonts w:ascii="Calibri" w:hAnsi="Calibri"/>
                      <w:color w:val="0070C0"/>
                      <w:sz w:val="24"/>
                      <w:szCs w:val="24"/>
                    </w:rPr>
                  </w:pPr>
                  <w:r w:rsidRPr="00DF66A7">
                    <w:rPr>
                      <w:rFonts w:ascii="Calibri" w:hAnsi="Calibri"/>
                      <w:color w:val="0070C0"/>
                      <w:sz w:val="24"/>
                      <w:szCs w:val="24"/>
                    </w:rPr>
                    <w:t>$100,000</w:t>
                  </w:r>
                </w:p>
              </w:tc>
              <w:tc>
                <w:tcPr>
                  <w:tcW w:w="2533" w:type="dxa"/>
                  <w:tcBorders>
                    <w:top w:val="nil"/>
                    <w:left w:val="nil"/>
                    <w:bottom w:val="nil"/>
                    <w:right w:val="nil"/>
                  </w:tcBorders>
                  <w:shd w:val="clear" w:color="auto" w:fill="auto"/>
                  <w:noWrap/>
                  <w:vAlign w:val="bottom"/>
                  <w:hideMark/>
                </w:tcPr>
                <w:p w:rsidR="008A060B" w:rsidRPr="00DF66A7" w:rsidRDefault="008A060B" w:rsidP="00E75CF7">
                  <w:pPr>
                    <w:spacing w:before="0" w:line="240" w:lineRule="auto"/>
                    <w:jc w:val="right"/>
                    <w:rPr>
                      <w:rFonts w:ascii="Calibri" w:hAnsi="Calibri"/>
                      <w:color w:val="0070C0"/>
                      <w:sz w:val="24"/>
                      <w:szCs w:val="24"/>
                    </w:rPr>
                  </w:pPr>
                  <w:r w:rsidRPr="00DF66A7">
                    <w:rPr>
                      <w:rFonts w:ascii="Calibri" w:hAnsi="Calibri"/>
                      <w:color w:val="0070C0"/>
                      <w:sz w:val="24"/>
                      <w:szCs w:val="24"/>
                    </w:rPr>
                    <w:t>$72,200</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r w:rsidRPr="00DF66A7">
                    <w:rPr>
                      <w:rFonts w:ascii="Calibri" w:hAnsi="Calibri"/>
                      <w:color w:val="0070C0"/>
                      <w:sz w:val="24"/>
                      <w:szCs w:val="24"/>
                    </w:rPr>
                    <w:t>Income Tax Payable</w:t>
                  </w: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$26,947</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DF66A7" w:rsidRDefault="0088396C" w:rsidP="00864F5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$16,</w:t>
                  </w:r>
                  <w:r w:rsidR="00864F57">
                    <w:rPr>
                      <w:rFonts w:ascii="Calibri" w:hAnsi="Calibri"/>
                      <w:color w:val="0070C0"/>
                      <w:sz w:val="24"/>
                      <w:szCs w:val="24"/>
                    </w:rPr>
                    <w:t>456</w:t>
                  </w:r>
                  <w:r>
                    <w:rPr>
                      <w:rFonts w:ascii="Calibri" w:hAnsi="Calibri"/>
                      <w:color w:val="0070C0"/>
                      <w:sz w:val="24"/>
                      <w:szCs w:val="24"/>
                    </w:rPr>
                    <w:t>)</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r w:rsidRPr="00DF66A7">
                    <w:rPr>
                      <w:rFonts w:ascii="Calibri" w:hAnsi="Calibri"/>
                      <w:color w:val="0070C0"/>
                      <w:sz w:val="24"/>
                      <w:szCs w:val="24"/>
                    </w:rPr>
                    <w:t>FBT Exempt Expenditure</w:t>
                  </w:r>
                  <w:r w:rsidR="00EF749B">
                    <w:rPr>
                      <w:rFonts w:ascii="Calibri" w:hAnsi="Calibri"/>
                      <w:color w:val="0070C0"/>
                      <w:sz w:val="24"/>
                      <w:szCs w:val="24"/>
                    </w:rPr>
                    <w:t xml:space="preserve"> - PBI</w:t>
                  </w: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$15,900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$15,900</w:t>
                  </w:r>
                  <w:r>
                    <w:rPr>
                      <w:rFonts w:ascii="Calibri" w:hAnsi="Calibri"/>
                      <w:color w:val="0070C0"/>
                      <w:sz w:val="24"/>
                      <w:szCs w:val="24"/>
                    </w:rPr>
                    <w:t>)</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r w:rsidRPr="00DF66A7">
                    <w:rPr>
                      <w:rFonts w:ascii="Calibri" w:hAnsi="Calibri"/>
                      <w:color w:val="0070C0"/>
                      <w:sz w:val="24"/>
                      <w:szCs w:val="24"/>
                    </w:rPr>
                    <w:t>Meal Entertainment Expenditure</w:t>
                  </w:r>
                </w:p>
              </w:tc>
              <w:tc>
                <w:tcPr>
                  <w:tcW w:w="2551"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$3,900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$3,900</w:t>
                  </w:r>
                  <w:r>
                    <w:rPr>
                      <w:rFonts w:ascii="Calibri" w:hAnsi="Calibri"/>
                      <w:color w:val="0070C0"/>
                      <w:sz w:val="24"/>
                      <w:szCs w:val="24"/>
                    </w:rPr>
                    <w:t>)</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r w:rsidRPr="00DF66A7">
                    <w:rPr>
                      <w:rFonts w:ascii="Calibri" w:hAnsi="Calibri"/>
                      <w:color w:val="0070C0"/>
                      <w:sz w:val="24"/>
                      <w:szCs w:val="24"/>
                    </w:rPr>
                    <w:t xml:space="preserve">Entertainment Facility </w:t>
                  </w:r>
                  <w:r w:rsidR="00EF749B">
                    <w:rPr>
                      <w:rFonts w:ascii="Calibri" w:hAnsi="Calibri"/>
                      <w:color w:val="0070C0"/>
                      <w:sz w:val="24"/>
                      <w:szCs w:val="24"/>
                    </w:rPr>
                    <w:t xml:space="preserve">Leasing </w:t>
                  </w:r>
                  <w:r w:rsidRPr="00DF66A7">
                    <w:rPr>
                      <w:rFonts w:ascii="Calibri" w:hAnsi="Calibri"/>
                      <w:color w:val="0070C0"/>
                      <w:sz w:val="24"/>
                      <w:szCs w:val="24"/>
                    </w:rPr>
                    <w:t>Expenditure</w:t>
                  </w:r>
                </w:p>
              </w:tc>
              <w:tc>
                <w:tcPr>
                  <w:tcW w:w="2551"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$5,000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$5,000</w:t>
                  </w:r>
                  <w:r>
                    <w:rPr>
                      <w:rFonts w:ascii="Calibri" w:hAnsi="Calibri"/>
                      <w:color w:val="0070C0"/>
                      <w:sz w:val="24"/>
                      <w:szCs w:val="24"/>
                    </w:rPr>
                    <w:t>)</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6E7940" w:rsidP="008A060B">
                  <w:pPr>
                    <w:spacing w:before="0" w:line="240" w:lineRule="auto"/>
                    <w:rPr>
                      <w:rFonts w:ascii="Calibri" w:hAnsi="Calibri"/>
                      <w:color w:val="0070C0"/>
                      <w:sz w:val="24"/>
                      <w:szCs w:val="24"/>
                    </w:rPr>
                  </w:pPr>
                  <w:r>
                    <w:rPr>
                      <w:rFonts w:ascii="Calibri" w:hAnsi="Calibri"/>
                      <w:color w:val="0070C0"/>
                      <w:sz w:val="24"/>
                      <w:szCs w:val="24"/>
                    </w:rPr>
                    <w:t>Other FBT Exempt B</w:t>
                  </w:r>
                  <w:r w:rsidR="008A060B" w:rsidRPr="00DF66A7">
                    <w:rPr>
                      <w:rFonts w:ascii="Calibri" w:hAnsi="Calibri"/>
                      <w:color w:val="0070C0"/>
                      <w:sz w:val="24"/>
                      <w:szCs w:val="24"/>
                    </w:rPr>
                    <w:t>enefits</w:t>
                  </w: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$3,000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DF66A7" w:rsidRDefault="0088396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DF66A7">
                    <w:rPr>
                      <w:rFonts w:ascii="Calibri" w:hAnsi="Calibri"/>
                      <w:color w:val="0070C0"/>
                      <w:sz w:val="24"/>
                      <w:szCs w:val="24"/>
                    </w:rPr>
                    <w:t>$3,000</w:t>
                  </w:r>
                  <w:r>
                    <w:rPr>
                      <w:rFonts w:ascii="Calibri" w:hAnsi="Calibri"/>
                      <w:color w:val="0070C0"/>
                      <w:sz w:val="24"/>
                      <w:szCs w:val="24"/>
                    </w:rPr>
                    <w:t>)</w:t>
                  </w:r>
                </w:p>
              </w:tc>
            </w:tr>
            <w:tr w:rsidR="00DF66A7" w:rsidRPr="00DF66A7" w:rsidTr="004C370C">
              <w:trPr>
                <w:trHeight w:val="357"/>
              </w:trPr>
              <w:tc>
                <w:tcPr>
                  <w:tcW w:w="3303" w:type="dxa"/>
                  <w:tcBorders>
                    <w:top w:val="nil"/>
                    <w:left w:val="nil"/>
                    <w:bottom w:val="nil"/>
                    <w:right w:val="nil"/>
                  </w:tcBorders>
                  <w:shd w:val="clear" w:color="auto" w:fill="auto"/>
                  <w:noWrap/>
                  <w:vAlign w:val="bottom"/>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tcPr>
                <w:p w:rsidR="008A060B" w:rsidRPr="00DF66A7" w:rsidRDefault="008A060B" w:rsidP="008A060B">
                  <w:pPr>
                    <w:spacing w:before="0" w:line="240" w:lineRule="auto"/>
                    <w:jc w:val="right"/>
                    <w:rPr>
                      <w:rFonts w:ascii="Calibri" w:hAnsi="Calibri"/>
                      <w:color w:val="0070C0"/>
                      <w:sz w:val="24"/>
                      <w:szCs w:val="24"/>
                    </w:rPr>
                  </w:pPr>
                </w:p>
              </w:tc>
              <w:tc>
                <w:tcPr>
                  <w:tcW w:w="2533" w:type="dxa"/>
                  <w:tcBorders>
                    <w:top w:val="nil"/>
                    <w:left w:val="nil"/>
                    <w:bottom w:val="nil"/>
                    <w:right w:val="nil"/>
                  </w:tcBorders>
                  <w:shd w:val="clear" w:color="auto" w:fill="auto"/>
                  <w:noWrap/>
                  <w:vAlign w:val="bottom"/>
                </w:tcPr>
                <w:p w:rsidR="008A060B" w:rsidRPr="00DF66A7" w:rsidRDefault="008A060B" w:rsidP="008A060B">
                  <w:pPr>
                    <w:spacing w:before="0" w:line="240" w:lineRule="auto"/>
                    <w:jc w:val="right"/>
                    <w:rPr>
                      <w:rFonts w:ascii="Calibri" w:hAnsi="Calibri"/>
                      <w:color w:val="0070C0"/>
                      <w:sz w:val="24"/>
                      <w:szCs w:val="24"/>
                    </w:rPr>
                  </w:pP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r w:rsidRPr="00DF66A7">
                    <w:rPr>
                      <w:rFonts w:ascii="Calibri" w:hAnsi="Calibri"/>
                      <w:color w:val="0070C0"/>
                      <w:sz w:val="24"/>
                      <w:szCs w:val="24"/>
                    </w:rPr>
                    <w:t>FBT Payable</w:t>
                  </w: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E75CF7">
                  <w:pPr>
                    <w:spacing w:before="0" w:line="240" w:lineRule="auto"/>
                    <w:jc w:val="right"/>
                    <w:rPr>
                      <w:rFonts w:ascii="Calibri" w:hAnsi="Calibri"/>
                      <w:color w:val="0070C0"/>
                      <w:sz w:val="24"/>
                      <w:szCs w:val="24"/>
                    </w:rPr>
                  </w:pPr>
                  <w:r w:rsidRPr="00DF66A7">
                    <w:rPr>
                      <w:rFonts w:ascii="Calibri" w:hAnsi="Calibri"/>
                      <w:color w:val="0070C0"/>
                      <w:sz w:val="24"/>
                      <w:szCs w:val="24"/>
                    </w:rPr>
                    <w:t>$0</w:t>
                  </w:r>
                </w:p>
              </w:tc>
              <w:tc>
                <w:tcPr>
                  <w:tcW w:w="2533" w:type="dxa"/>
                  <w:tcBorders>
                    <w:top w:val="nil"/>
                    <w:left w:val="nil"/>
                    <w:bottom w:val="nil"/>
                    <w:right w:val="nil"/>
                  </w:tcBorders>
                  <w:shd w:val="clear" w:color="auto" w:fill="auto"/>
                  <w:noWrap/>
                  <w:vAlign w:val="bottom"/>
                  <w:hideMark/>
                </w:tcPr>
                <w:p w:rsidR="008A060B" w:rsidRPr="00DF66A7" w:rsidRDefault="008A060B" w:rsidP="00E75CF7">
                  <w:pPr>
                    <w:spacing w:before="0" w:line="240" w:lineRule="auto"/>
                    <w:jc w:val="right"/>
                    <w:rPr>
                      <w:rFonts w:ascii="Calibri" w:hAnsi="Calibri"/>
                      <w:color w:val="0070C0"/>
                      <w:sz w:val="24"/>
                      <w:szCs w:val="24"/>
                    </w:rPr>
                  </w:pPr>
                  <w:r w:rsidRPr="00DF66A7">
                    <w:rPr>
                      <w:rFonts w:ascii="Calibri" w:hAnsi="Calibri"/>
                      <w:color w:val="0070C0"/>
                      <w:sz w:val="24"/>
                      <w:szCs w:val="24"/>
                    </w:rPr>
                    <w:t>$0</w:t>
                  </w:r>
                </w:p>
              </w:tc>
            </w:tr>
            <w:tr w:rsidR="00DF66A7" w:rsidRPr="00DF66A7" w:rsidTr="004C370C">
              <w:trPr>
                <w:trHeight w:val="357"/>
              </w:trPr>
              <w:tc>
                <w:tcPr>
                  <w:tcW w:w="330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r>
            <w:tr w:rsidR="00DF66A7" w:rsidRPr="00DF66A7"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b/>
                      <w:bCs/>
                      <w:color w:val="0070C0"/>
                      <w:sz w:val="24"/>
                      <w:szCs w:val="24"/>
                    </w:rPr>
                  </w:pPr>
                  <w:r w:rsidRPr="00DF66A7">
                    <w:rPr>
                      <w:rFonts w:ascii="Calibri" w:hAnsi="Calibri"/>
                      <w:b/>
                      <w:bCs/>
                      <w:color w:val="0070C0"/>
                      <w:sz w:val="24"/>
                      <w:szCs w:val="24"/>
                    </w:rPr>
                    <w:t>Net Benefit with Salary Packaging</w:t>
                  </w:r>
                </w:p>
              </w:tc>
              <w:tc>
                <w:tcPr>
                  <w:tcW w:w="2551" w:type="dxa"/>
                  <w:tcBorders>
                    <w:top w:val="nil"/>
                    <w:left w:val="nil"/>
                    <w:bottom w:val="nil"/>
                    <w:right w:val="nil"/>
                  </w:tcBorders>
                  <w:shd w:val="clear" w:color="auto" w:fill="auto"/>
                  <w:noWrap/>
                  <w:vAlign w:val="bottom"/>
                  <w:hideMark/>
                </w:tcPr>
                <w:p w:rsidR="008A060B" w:rsidRPr="00DF66A7"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Default="008A060B" w:rsidP="008A060B">
                  <w:pPr>
                    <w:spacing w:before="0" w:line="240" w:lineRule="auto"/>
                    <w:jc w:val="right"/>
                    <w:rPr>
                      <w:rFonts w:ascii="Calibri" w:hAnsi="Calibri"/>
                      <w:b/>
                      <w:bCs/>
                      <w:color w:val="0070C0"/>
                      <w:sz w:val="24"/>
                      <w:szCs w:val="24"/>
                    </w:rPr>
                  </w:pPr>
                  <w:r w:rsidRPr="00DF66A7">
                    <w:rPr>
                      <w:rFonts w:ascii="Calibri" w:hAnsi="Calibri"/>
                      <w:b/>
                      <w:bCs/>
                      <w:color w:val="0070C0"/>
                      <w:sz w:val="24"/>
                      <w:szCs w:val="24"/>
                    </w:rPr>
                    <w:t>$10,</w:t>
                  </w:r>
                  <w:r w:rsidR="00864F57">
                    <w:rPr>
                      <w:rFonts w:ascii="Calibri" w:hAnsi="Calibri"/>
                      <w:b/>
                      <w:bCs/>
                      <w:color w:val="0070C0"/>
                      <w:sz w:val="24"/>
                      <w:szCs w:val="24"/>
                    </w:rPr>
                    <w:t>491</w:t>
                  </w:r>
                </w:p>
                <w:p w:rsidR="002E1921" w:rsidRPr="00DF66A7" w:rsidRDefault="002E1921" w:rsidP="00D649B5">
                  <w:pPr>
                    <w:spacing w:before="0" w:line="240" w:lineRule="auto"/>
                    <w:jc w:val="right"/>
                    <w:rPr>
                      <w:rFonts w:ascii="Calibri" w:hAnsi="Calibri"/>
                      <w:b/>
                      <w:bCs/>
                      <w:color w:val="0070C0"/>
                      <w:sz w:val="24"/>
                      <w:szCs w:val="24"/>
                    </w:rPr>
                  </w:pPr>
                  <w:r>
                    <w:rPr>
                      <w:rFonts w:ascii="Calibri" w:hAnsi="Calibri"/>
                      <w:b/>
                      <w:bCs/>
                      <w:color w:val="0070C0"/>
                      <w:sz w:val="24"/>
                      <w:szCs w:val="24"/>
                    </w:rPr>
                    <w:t>($20</w:t>
                  </w:r>
                  <w:r w:rsidR="00D649B5">
                    <w:rPr>
                      <w:rFonts w:ascii="Calibri" w:hAnsi="Calibri"/>
                      <w:b/>
                      <w:bCs/>
                      <w:color w:val="0070C0"/>
                      <w:sz w:val="24"/>
                      <w:szCs w:val="24"/>
                    </w:rPr>
                    <w:t>1</w:t>
                  </w:r>
                  <w:r>
                    <w:rPr>
                      <w:rFonts w:ascii="Calibri" w:hAnsi="Calibri"/>
                      <w:b/>
                      <w:bCs/>
                      <w:color w:val="0070C0"/>
                      <w:sz w:val="24"/>
                      <w:szCs w:val="24"/>
                    </w:rPr>
                    <w:t>.</w:t>
                  </w:r>
                  <w:r w:rsidR="00D649B5">
                    <w:rPr>
                      <w:rFonts w:ascii="Calibri" w:hAnsi="Calibri"/>
                      <w:b/>
                      <w:bCs/>
                      <w:color w:val="0070C0"/>
                      <w:sz w:val="24"/>
                      <w:szCs w:val="24"/>
                    </w:rPr>
                    <w:t>75</w:t>
                  </w:r>
                  <w:r>
                    <w:rPr>
                      <w:rFonts w:ascii="Calibri" w:hAnsi="Calibri"/>
                      <w:b/>
                      <w:bCs/>
                      <w:color w:val="0070C0"/>
                      <w:sz w:val="24"/>
                      <w:szCs w:val="24"/>
                    </w:rPr>
                    <w:t xml:space="preserve"> per week)</w:t>
                  </w:r>
                  <w:r w:rsidR="00C93C0C">
                    <w:rPr>
                      <w:rStyle w:val="FootnoteReference"/>
                      <w:rFonts w:ascii="Calibri" w:hAnsi="Calibri"/>
                      <w:b/>
                      <w:bCs/>
                      <w:color w:val="0070C0"/>
                      <w:sz w:val="24"/>
                      <w:szCs w:val="24"/>
                    </w:rPr>
                    <w:footnoteReference w:id="27"/>
                  </w:r>
                </w:p>
              </w:tc>
            </w:tr>
          </w:tbl>
          <w:p w:rsidR="008A060B" w:rsidRPr="00DF66A7" w:rsidRDefault="008A060B" w:rsidP="003B4842">
            <w:pPr>
              <w:pStyle w:val="NormalIndent"/>
              <w:ind w:left="0"/>
              <w:rPr>
                <w:color w:val="0070C0"/>
                <w:sz w:val="24"/>
                <w:szCs w:val="24"/>
              </w:rPr>
            </w:pPr>
          </w:p>
        </w:tc>
      </w:tr>
    </w:tbl>
    <w:p w:rsidR="008D642C" w:rsidRPr="00DF66A7" w:rsidRDefault="008D642C" w:rsidP="003B4842">
      <w:pPr>
        <w:pStyle w:val="NormalIndent"/>
        <w:rPr>
          <w:color w:val="0070C0"/>
          <w:sz w:val="24"/>
          <w:szCs w:val="24"/>
        </w:rPr>
      </w:pPr>
    </w:p>
    <w:p w:rsidR="005547D2" w:rsidRDefault="005547D2" w:rsidP="003B4842">
      <w:pPr>
        <w:pStyle w:val="NormalIndent"/>
      </w:pPr>
    </w:p>
    <w:p w:rsidR="00EB1C16" w:rsidRDefault="00EB1C16" w:rsidP="00EB1C16">
      <w:pPr>
        <w:sectPr w:rsidR="00EB1C16" w:rsidSect="00990313">
          <w:pgSz w:w="11907" w:h="16839" w:code="9"/>
          <w:pgMar w:top="1701" w:right="1134" w:bottom="1134" w:left="1417" w:header="567" w:footer="567" w:gutter="0"/>
          <w:cols w:space="720"/>
          <w:titlePg/>
          <w:docGrid w:linePitch="272"/>
        </w:sectPr>
      </w:pPr>
    </w:p>
    <w:p w:rsidR="003B4842" w:rsidRDefault="003B4842" w:rsidP="00102490">
      <w:pPr>
        <w:pStyle w:val="AllensHeading2"/>
      </w:pPr>
      <w:bookmarkStart w:id="43" w:name="_Ref411950345"/>
      <w:bookmarkStart w:id="44" w:name="_Toc437947582"/>
      <w:r w:rsidRPr="003B4842">
        <w:lastRenderedPageBreak/>
        <w:t>Employee with a gross salary of $61,000</w:t>
      </w:r>
      <w:bookmarkEnd w:id="43"/>
      <w:r w:rsidR="006E7940">
        <w:rPr>
          <w:rStyle w:val="FootnoteReference"/>
        </w:rPr>
        <w:footnoteReference w:id="28"/>
      </w:r>
      <w:bookmarkEnd w:id="44"/>
    </w:p>
    <w:p w:rsidR="0024094E" w:rsidRPr="00C70FBA" w:rsidRDefault="0024094E" w:rsidP="0024094E">
      <w:pPr>
        <w:pStyle w:val="NormalIndent"/>
        <w:rPr>
          <w:color w:val="0070C0"/>
          <w:sz w:val="24"/>
          <w:szCs w:val="24"/>
        </w:rPr>
      </w:pPr>
    </w:p>
    <w:tbl>
      <w:tblPr>
        <w:tblStyle w:val="TableGrid"/>
        <w:tblW w:w="0" w:type="auto"/>
        <w:tblInd w:w="709" w:type="dxa"/>
        <w:tblLook w:val="04A0"/>
      </w:tblPr>
      <w:tblGrid>
        <w:gridCol w:w="8863"/>
      </w:tblGrid>
      <w:tr w:rsidR="008A060B" w:rsidRPr="00C70FBA" w:rsidTr="008A060B">
        <w:tc>
          <w:tcPr>
            <w:tcW w:w="8863" w:type="dxa"/>
          </w:tcPr>
          <w:tbl>
            <w:tblPr>
              <w:tblW w:w="8647" w:type="dxa"/>
              <w:tblLook w:val="04A0"/>
            </w:tblPr>
            <w:tblGrid>
              <w:gridCol w:w="3303"/>
              <w:gridCol w:w="260"/>
              <w:gridCol w:w="2551"/>
              <w:gridCol w:w="2533"/>
            </w:tblGrid>
            <w:tr w:rsidR="004C370C" w:rsidRPr="00C70FBA"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C70FBA" w:rsidRDefault="008A060B" w:rsidP="0014220A">
                  <w:pPr>
                    <w:spacing w:before="0" w:line="240" w:lineRule="auto"/>
                    <w:rPr>
                      <w:rFonts w:ascii="Calibri" w:hAnsi="Calibri"/>
                      <w:b/>
                      <w:bCs/>
                      <w:color w:val="0070C0"/>
                      <w:sz w:val="24"/>
                      <w:szCs w:val="24"/>
                    </w:rPr>
                  </w:pPr>
                  <w:r w:rsidRPr="00C70FBA">
                    <w:rPr>
                      <w:rFonts w:ascii="Calibri" w:hAnsi="Calibri"/>
                      <w:b/>
                      <w:bCs/>
                      <w:color w:val="0070C0"/>
                      <w:sz w:val="24"/>
                      <w:szCs w:val="24"/>
                    </w:rPr>
                    <w:t>Tax Savings Calculator (201</w:t>
                  </w:r>
                  <w:r w:rsidR="0014220A">
                    <w:rPr>
                      <w:rFonts w:ascii="Calibri" w:hAnsi="Calibri"/>
                      <w:b/>
                      <w:bCs/>
                      <w:color w:val="0070C0"/>
                      <w:sz w:val="24"/>
                      <w:szCs w:val="24"/>
                    </w:rPr>
                    <w:t>5</w:t>
                  </w:r>
                  <w:r w:rsidRPr="00C70FBA">
                    <w:rPr>
                      <w:rFonts w:ascii="Calibri" w:hAnsi="Calibri"/>
                      <w:b/>
                      <w:bCs/>
                      <w:color w:val="0070C0"/>
                      <w:sz w:val="24"/>
                      <w:szCs w:val="24"/>
                    </w:rPr>
                    <w:t>/201</w:t>
                  </w:r>
                  <w:r w:rsidR="0014220A">
                    <w:rPr>
                      <w:rFonts w:ascii="Calibri" w:hAnsi="Calibri"/>
                      <w:b/>
                      <w:bCs/>
                      <w:color w:val="0070C0"/>
                      <w:sz w:val="24"/>
                      <w:szCs w:val="24"/>
                    </w:rPr>
                    <w:t>6</w:t>
                  </w:r>
                  <w:r w:rsidRPr="00C70FBA">
                    <w:rPr>
                      <w:rFonts w:ascii="Calibri" w:hAnsi="Calibri"/>
                      <w:b/>
                      <w:bCs/>
                      <w:color w:val="0070C0"/>
                      <w:sz w:val="24"/>
                      <w:szCs w:val="24"/>
                    </w:rPr>
                    <w:t>)</w:t>
                  </w: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b/>
                      <w:bCs/>
                      <w:color w:val="0070C0"/>
                      <w:sz w:val="24"/>
                      <w:szCs w:val="24"/>
                    </w:rPr>
                  </w:pPr>
                  <w:r w:rsidRPr="00C70FBA">
                    <w:rPr>
                      <w:rFonts w:ascii="Calibri" w:hAnsi="Calibri"/>
                      <w:b/>
                      <w:bCs/>
                      <w:color w:val="0070C0"/>
                      <w:sz w:val="24"/>
                      <w:szCs w:val="24"/>
                    </w:rPr>
                    <w:t>Without Salary Packaging</w:t>
                  </w: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b/>
                      <w:bCs/>
                      <w:color w:val="0070C0"/>
                      <w:sz w:val="24"/>
                      <w:szCs w:val="24"/>
                    </w:rPr>
                  </w:pPr>
                  <w:r w:rsidRPr="00C70FBA">
                    <w:rPr>
                      <w:rFonts w:ascii="Calibri" w:hAnsi="Calibri"/>
                      <w:b/>
                      <w:bCs/>
                      <w:color w:val="0070C0"/>
                      <w:sz w:val="24"/>
                      <w:szCs w:val="24"/>
                    </w:rPr>
                    <w:t>With Salary Packaging</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b/>
                      <w:bCs/>
                      <w:color w:val="0070C0"/>
                      <w:sz w:val="24"/>
                      <w:szCs w:val="24"/>
                    </w:rPr>
                  </w:pPr>
                  <w:r w:rsidRPr="00C70FBA">
                    <w:rPr>
                      <w:rFonts w:ascii="Calibri" w:hAnsi="Calibri"/>
                      <w:b/>
                      <w:bCs/>
                      <w:color w:val="0070C0"/>
                      <w:sz w:val="24"/>
                      <w:szCs w:val="24"/>
                    </w:rPr>
                    <w:t xml:space="preserve">Total Cash Available After Tax </w:t>
                  </w: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E75CF7">
                  <w:pPr>
                    <w:spacing w:before="0" w:line="240" w:lineRule="auto"/>
                    <w:jc w:val="right"/>
                    <w:rPr>
                      <w:rFonts w:ascii="Calibri" w:hAnsi="Calibri"/>
                      <w:b/>
                      <w:bCs/>
                      <w:color w:val="0070C0"/>
                      <w:sz w:val="24"/>
                      <w:szCs w:val="24"/>
                    </w:rPr>
                  </w:pPr>
                  <w:r w:rsidRPr="00C70FBA">
                    <w:rPr>
                      <w:rFonts w:ascii="Calibri" w:hAnsi="Calibri"/>
                      <w:b/>
                      <w:bCs/>
                      <w:color w:val="0070C0"/>
                      <w:sz w:val="24"/>
                      <w:szCs w:val="24"/>
                    </w:rPr>
                    <w:t>$25,493</w:t>
                  </w:r>
                </w:p>
              </w:tc>
              <w:tc>
                <w:tcPr>
                  <w:tcW w:w="2533" w:type="dxa"/>
                  <w:tcBorders>
                    <w:top w:val="nil"/>
                    <w:left w:val="nil"/>
                    <w:bottom w:val="nil"/>
                    <w:right w:val="nil"/>
                  </w:tcBorders>
                  <w:shd w:val="clear" w:color="auto" w:fill="auto"/>
                  <w:noWrap/>
                  <w:vAlign w:val="bottom"/>
                  <w:hideMark/>
                </w:tcPr>
                <w:p w:rsidR="008A060B" w:rsidRPr="00C70FBA" w:rsidRDefault="008A060B" w:rsidP="00E75CF7">
                  <w:pPr>
                    <w:spacing w:before="0" w:line="240" w:lineRule="auto"/>
                    <w:jc w:val="right"/>
                    <w:rPr>
                      <w:rFonts w:ascii="Calibri" w:hAnsi="Calibri"/>
                      <w:b/>
                      <w:bCs/>
                      <w:color w:val="0070C0"/>
                      <w:sz w:val="24"/>
                      <w:szCs w:val="24"/>
                    </w:rPr>
                  </w:pPr>
                  <w:r w:rsidRPr="00C70FBA">
                    <w:rPr>
                      <w:rFonts w:ascii="Calibri" w:hAnsi="Calibri"/>
                      <w:b/>
                      <w:bCs/>
                      <w:color w:val="0070C0"/>
                      <w:sz w:val="24"/>
                      <w:szCs w:val="24"/>
                    </w:rPr>
                    <w:t>$33,773</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r w:rsidRPr="00C70FBA">
                    <w:rPr>
                      <w:rFonts w:ascii="Calibri" w:hAnsi="Calibri"/>
                      <w:color w:val="0070C0"/>
                      <w:sz w:val="24"/>
                      <w:szCs w:val="24"/>
                    </w:rPr>
                    <w:t>Gross/Pre-Tax Salary</w:t>
                  </w: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E75CF7">
                  <w:pPr>
                    <w:spacing w:before="0" w:line="240" w:lineRule="auto"/>
                    <w:jc w:val="right"/>
                    <w:rPr>
                      <w:rFonts w:ascii="Calibri" w:hAnsi="Calibri"/>
                      <w:color w:val="0070C0"/>
                      <w:sz w:val="24"/>
                      <w:szCs w:val="24"/>
                    </w:rPr>
                  </w:pPr>
                  <w:r w:rsidRPr="00C70FBA">
                    <w:rPr>
                      <w:rFonts w:ascii="Calibri" w:hAnsi="Calibri"/>
                      <w:color w:val="0070C0"/>
                      <w:sz w:val="24"/>
                      <w:szCs w:val="24"/>
                    </w:rPr>
                    <w:t>$61,000</w:t>
                  </w:r>
                </w:p>
              </w:tc>
              <w:tc>
                <w:tcPr>
                  <w:tcW w:w="2533" w:type="dxa"/>
                  <w:tcBorders>
                    <w:top w:val="nil"/>
                    <w:left w:val="nil"/>
                    <w:bottom w:val="nil"/>
                    <w:right w:val="nil"/>
                  </w:tcBorders>
                  <w:shd w:val="clear" w:color="auto" w:fill="auto"/>
                  <w:noWrap/>
                  <w:vAlign w:val="bottom"/>
                  <w:hideMark/>
                </w:tcPr>
                <w:p w:rsidR="008A060B" w:rsidRPr="00C70FBA" w:rsidRDefault="008A060B" w:rsidP="00E75CF7">
                  <w:pPr>
                    <w:spacing w:before="0" w:line="240" w:lineRule="auto"/>
                    <w:jc w:val="right"/>
                    <w:rPr>
                      <w:rFonts w:ascii="Calibri" w:hAnsi="Calibri"/>
                      <w:color w:val="0070C0"/>
                      <w:sz w:val="24"/>
                      <w:szCs w:val="24"/>
                    </w:rPr>
                  </w:pPr>
                  <w:r w:rsidRPr="00C70FBA">
                    <w:rPr>
                      <w:rFonts w:ascii="Calibri" w:hAnsi="Calibri"/>
                      <w:color w:val="0070C0"/>
                      <w:sz w:val="24"/>
                      <w:szCs w:val="24"/>
                    </w:rPr>
                    <w:t>$38,000</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3715CA"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r w:rsidRPr="00C70FBA">
                    <w:rPr>
                      <w:rFonts w:ascii="Calibri" w:hAnsi="Calibri"/>
                      <w:color w:val="0070C0"/>
                      <w:sz w:val="24"/>
                      <w:szCs w:val="24"/>
                    </w:rPr>
                    <w:t>Income Tax Payable</w:t>
                  </w: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$12,507</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$4,227</w:t>
                  </w:r>
                  <w:r>
                    <w:rPr>
                      <w:rFonts w:ascii="Calibri" w:hAnsi="Calibri"/>
                      <w:color w:val="0070C0"/>
                      <w:sz w:val="24"/>
                      <w:szCs w:val="24"/>
                    </w:rPr>
                    <w:t>)</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3715CA"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r w:rsidRPr="00C70FBA">
                    <w:rPr>
                      <w:rFonts w:ascii="Calibri" w:hAnsi="Calibri"/>
                      <w:color w:val="0070C0"/>
                      <w:sz w:val="24"/>
                      <w:szCs w:val="24"/>
                    </w:rPr>
                    <w:t>FBT Exempt Expenditure</w:t>
                  </w:r>
                  <w:r w:rsidR="00EF749B">
                    <w:rPr>
                      <w:rFonts w:ascii="Calibri" w:hAnsi="Calibri"/>
                      <w:color w:val="0070C0"/>
                      <w:sz w:val="24"/>
                      <w:szCs w:val="24"/>
                    </w:rPr>
                    <w:t xml:space="preserve"> - PBI</w:t>
                  </w: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$15,900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$15,900</w:t>
                  </w:r>
                  <w:r>
                    <w:rPr>
                      <w:rFonts w:ascii="Calibri" w:hAnsi="Calibri"/>
                      <w:color w:val="0070C0"/>
                      <w:sz w:val="24"/>
                      <w:szCs w:val="24"/>
                    </w:rPr>
                    <w:t>)</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4C370C" w:rsidRPr="00C70FBA"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r w:rsidRPr="00C70FBA">
                    <w:rPr>
                      <w:rFonts w:ascii="Calibri" w:hAnsi="Calibri"/>
                      <w:color w:val="0070C0"/>
                      <w:sz w:val="24"/>
                      <w:szCs w:val="24"/>
                    </w:rPr>
                    <w:t>Meal Entertainment Expenditure</w:t>
                  </w:r>
                </w:p>
              </w:tc>
              <w:tc>
                <w:tcPr>
                  <w:tcW w:w="2551"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$2,600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$2,600</w:t>
                  </w:r>
                  <w:r>
                    <w:rPr>
                      <w:rFonts w:ascii="Calibri" w:hAnsi="Calibri"/>
                      <w:color w:val="0070C0"/>
                      <w:sz w:val="24"/>
                      <w:szCs w:val="24"/>
                    </w:rPr>
                    <w:t>)</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4C370C" w:rsidRPr="00C70FBA"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C70FBA" w:rsidRDefault="008A060B" w:rsidP="0014220A">
                  <w:pPr>
                    <w:spacing w:before="0" w:line="240" w:lineRule="auto"/>
                    <w:rPr>
                      <w:rFonts w:ascii="Calibri" w:hAnsi="Calibri"/>
                      <w:color w:val="0070C0"/>
                      <w:sz w:val="24"/>
                      <w:szCs w:val="24"/>
                    </w:rPr>
                  </w:pPr>
                  <w:r w:rsidRPr="00C70FBA">
                    <w:rPr>
                      <w:rFonts w:ascii="Calibri" w:hAnsi="Calibri"/>
                      <w:color w:val="0070C0"/>
                      <w:sz w:val="24"/>
                      <w:szCs w:val="24"/>
                    </w:rPr>
                    <w:t>Entertainment Facility</w:t>
                  </w:r>
                  <w:r w:rsidR="00EF749B">
                    <w:rPr>
                      <w:rFonts w:ascii="Calibri" w:hAnsi="Calibri"/>
                      <w:color w:val="0070C0"/>
                      <w:sz w:val="24"/>
                      <w:szCs w:val="24"/>
                    </w:rPr>
                    <w:t xml:space="preserve"> Leasing</w:t>
                  </w:r>
                  <w:r w:rsidRPr="00C70FBA">
                    <w:rPr>
                      <w:rFonts w:ascii="Calibri" w:hAnsi="Calibri"/>
                      <w:color w:val="0070C0"/>
                      <w:sz w:val="24"/>
                      <w:szCs w:val="24"/>
                    </w:rPr>
                    <w:t xml:space="preserve"> Expenditure</w:t>
                  </w:r>
                </w:p>
              </w:tc>
              <w:tc>
                <w:tcPr>
                  <w:tcW w:w="2551"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$3,000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$3,000</w:t>
                  </w:r>
                  <w:r>
                    <w:rPr>
                      <w:rFonts w:ascii="Calibri" w:hAnsi="Calibri"/>
                      <w:color w:val="0070C0"/>
                      <w:sz w:val="24"/>
                      <w:szCs w:val="24"/>
                    </w:rPr>
                    <w:t>)</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6E7940" w:rsidP="00EF749B">
                  <w:pPr>
                    <w:spacing w:before="0" w:line="240" w:lineRule="auto"/>
                    <w:rPr>
                      <w:rFonts w:ascii="Calibri" w:hAnsi="Calibri"/>
                      <w:color w:val="0070C0"/>
                      <w:sz w:val="24"/>
                      <w:szCs w:val="24"/>
                    </w:rPr>
                  </w:pPr>
                  <w:r>
                    <w:rPr>
                      <w:rFonts w:ascii="Calibri" w:hAnsi="Calibri"/>
                      <w:color w:val="0070C0"/>
                      <w:sz w:val="24"/>
                      <w:szCs w:val="24"/>
                    </w:rPr>
                    <w:t xml:space="preserve">Other FBT Exempt </w:t>
                  </w:r>
                  <w:r w:rsidR="00EF749B">
                    <w:rPr>
                      <w:rFonts w:ascii="Calibri" w:hAnsi="Calibri"/>
                      <w:color w:val="0070C0"/>
                      <w:sz w:val="24"/>
                      <w:szCs w:val="24"/>
                    </w:rPr>
                    <w:t>Expenditure</w:t>
                  </w: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$1,500</w:t>
                  </w:r>
                  <w:r>
                    <w:rPr>
                      <w:rFonts w:ascii="Calibri" w:hAnsi="Calibri"/>
                      <w:color w:val="0070C0"/>
                      <w:sz w:val="24"/>
                      <w:szCs w:val="24"/>
                    </w:rPr>
                    <w:t>)</w:t>
                  </w:r>
                </w:p>
              </w:tc>
              <w:tc>
                <w:tcPr>
                  <w:tcW w:w="2533" w:type="dxa"/>
                  <w:tcBorders>
                    <w:top w:val="nil"/>
                    <w:left w:val="nil"/>
                    <w:bottom w:val="nil"/>
                    <w:right w:val="nil"/>
                  </w:tcBorders>
                  <w:shd w:val="clear" w:color="auto" w:fill="auto"/>
                  <w:noWrap/>
                  <w:vAlign w:val="bottom"/>
                  <w:hideMark/>
                </w:tcPr>
                <w:p w:rsidR="008A060B" w:rsidRPr="00C70FBA" w:rsidRDefault="004C370C" w:rsidP="00E75CF7">
                  <w:pPr>
                    <w:spacing w:before="0" w:line="240" w:lineRule="auto"/>
                    <w:jc w:val="right"/>
                    <w:rPr>
                      <w:rFonts w:ascii="Calibri" w:hAnsi="Calibri"/>
                      <w:color w:val="0070C0"/>
                      <w:sz w:val="24"/>
                      <w:szCs w:val="24"/>
                    </w:rPr>
                  </w:pPr>
                  <w:r>
                    <w:rPr>
                      <w:rFonts w:ascii="Calibri" w:hAnsi="Calibri"/>
                      <w:color w:val="0070C0"/>
                      <w:sz w:val="24"/>
                      <w:szCs w:val="24"/>
                    </w:rPr>
                    <w:t>(</w:t>
                  </w:r>
                  <w:r w:rsidR="008A060B" w:rsidRPr="00C70FBA">
                    <w:rPr>
                      <w:rFonts w:ascii="Calibri" w:hAnsi="Calibri"/>
                      <w:color w:val="0070C0"/>
                      <w:sz w:val="24"/>
                      <w:szCs w:val="24"/>
                    </w:rPr>
                    <w:t>$1,500</w:t>
                  </w:r>
                  <w:r>
                    <w:rPr>
                      <w:rFonts w:ascii="Calibri" w:hAnsi="Calibri"/>
                      <w:color w:val="0070C0"/>
                      <w:sz w:val="24"/>
                      <w:szCs w:val="24"/>
                    </w:rPr>
                    <w:t>)</w:t>
                  </w:r>
                </w:p>
              </w:tc>
            </w:tr>
            <w:tr w:rsidR="004C370C" w:rsidRPr="00C70FBA" w:rsidTr="004C370C">
              <w:trPr>
                <w:trHeight w:val="357"/>
              </w:trPr>
              <w:tc>
                <w:tcPr>
                  <w:tcW w:w="3303" w:type="dxa"/>
                  <w:tcBorders>
                    <w:top w:val="nil"/>
                    <w:left w:val="nil"/>
                    <w:bottom w:val="nil"/>
                    <w:right w:val="nil"/>
                  </w:tcBorders>
                  <w:shd w:val="clear" w:color="auto" w:fill="auto"/>
                  <w:noWrap/>
                  <w:vAlign w:val="bottom"/>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tcPr>
                <w:p w:rsidR="008A060B" w:rsidRPr="00C70FBA" w:rsidRDefault="008A060B" w:rsidP="008A060B">
                  <w:pPr>
                    <w:spacing w:before="0" w:line="240" w:lineRule="auto"/>
                    <w:jc w:val="right"/>
                    <w:rPr>
                      <w:rFonts w:ascii="Calibri" w:hAnsi="Calibri"/>
                      <w:color w:val="0070C0"/>
                      <w:sz w:val="24"/>
                      <w:szCs w:val="24"/>
                    </w:rPr>
                  </w:pPr>
                </w:p>
              </w:tc>
              <w:tc>
                <w:tcPr>
                  <w:tcW w:w="2533" w:type="dxa"/>
                  <w:tcBorders>
                    <w:top w:val="nil"/>
                    <w:left w:val="nil"/>
                    <w:bottom w:val="nil"/>
                    <w:right w:val="nil"/>
                  </w:tcBorders>
                  <w:shd w:val="clear" w:color="auto" w:fill="auto"/>
                  <w:noWrap/>
                  <w:vAlign w:val="bottom"/>
                </w:tcPr>
                <w:p w:rsidR="008A060B" w:rsidRPr="00C70FBA" w:rsidRDefault="008A060B" w:rsidP="008A060B">
                  <w:pPr>
                    <w:spacing w:before="0" w:line="240" w:lineRule="auto"/>
                    <w:jc w:val="right"/>
                    <w:rPr>
                      <w:rFonts w:ascii="Calibri" w:hAnsi="Calibri"/>
                      <w:color w:val="0070C0"/>
                      <w:sz w:val="24"/>
                      <w:szCs w:val="24"/>
                    </w:rPr>
                  </w:pP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r w:rsidRPr="00C70FBA">
                    <w:rPr>
                      <w:rFonts w:ascii="Calibri" w:hAnsi="Calibri"/>
                      <w:color w:val="0070C0"/>
                      <w:sz w:val="24"/>
                      <w:szCs w:val="24"/>
                    </w:rPr>
                    <w:t>FBT Payable</w:t>
                  </w: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E75CF7">
                  <w:pPr>
                    <w:spacing w:before="0" w:line="240" w:lineRule="auto"/>
                    <w:jc w:val="right"/>
                    <w:rPr>
                      <w:rFonts w:ascii="Calibri" w:hAnsi="Calibri"/>
                      <w:color w:val="0070C0"/>
                      <w:sz w:val="24"/>
                      <w:szCs w:val="24"/>
                    </w:rPr>
                  </w:pPr>
                  <w:r w:rsidRPr="00C70FBA">
                    <w:rPr>
                      <w:rFonts w:ascii="Calibri" w:hAnsi="Calibri"/>
                      <w:color w:val="0070C0"/>
                      <w:sz w:val="24"/>
                      <w:szCs w:val="24"/>
                    </w:rPr>
                    <w:t>$0</w:t>
                  </w:r>
                </w:p>
              </w:tc>
              <w:tc>
                <w:tcPr>
                  <w:tcW w:w="2533" w:type="dxa"/>
                  <w:tcBorders>
                    <w:top w:val="nil"/>
                    <w:left w:val="nil"/>
                    <w:bottom w:val="nil"/>
                    <w:right w:val="nil"/>
                  </w:tcBorders>
                  <w:shd w:val="clear" w:color="auto" w:fill="auto"/>
                  <w:noWrap/>
                  <w:vAlign w:val="bottom"/>
                  <w:hideMark/>
                </w:tcPr>
                <w:p w:rsidR="008A060B" w:rsidRPr="00C70FBA" w:rsidRDefault="008A060B" w:rsidP="00E75CF7">
                  <w:pPr>
                    <w:spacing w:before="0" w:line="240" w:lineRule="auto"/>
                    <w:jc w:val="right"/>
                    <w:rPr>
                      <w:rFonts w:ascii="Calibri" w:hAnsi="Calibri"/>
                      <w:color w:val="0070C0"/>
                      <w:sz w:val="24"/>
                      <w:szCs w:val="24"/>
                    </w:rPr>
                  </w:pPr>
                  <w:r w:rsidRPr="00C70FBA">
                    <w:rPr>
                      <w:rFonts w:ascii="Calibri" w:hAnsi="Calibri"/>
                      <w:color w:val="0070C0"/>
                      <w:sz w:val="24"/>
                      <w:szCs w:val="24"/>
                    </w:rPr>
                    <w:t>$0</w:t>
                  </w:r>
                </w:p>
              </w:tc>
            </w:tr>
            <w:tr w:rsidR="004C370C" w:rsidRPr="00C70FBA" w:rsidTr="004C370C">
              <w:trPr>
                <w:trHeight w:val="357"/>
              </w:trPr>
              <w:tc>
                <w:tcPr>
                  <w:tcW w:w="330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60"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r>
            <w:tr w:rsidR="003715CA" w:rsidRPr="00C70FBA" w:rsidTr="004C370C">
              <w:trPr>
                <w:trHeight w:val="357"/>
              </w:trPr>
              <w:tc>
                <w:tcPr>
                  <w:tcW w:w="3563" w:type="dxa"/>
                  <w:gridSpan w:val="2"/>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b/>
                      <w:bCs/>
                      <w:color w:val="0070C0"/>
                      <w:sz w:val="24"/>
                      <w:szCs w:val="24"/>
                    </w:rPr>
                  </w:pPr>
                  <w:r w:rsidRPr="00C70FBA">
                    <w:rPr>
                      <w:rFonts w:ascii="Calibri" w:hAnsi="Calibri"/>
                      <w:b/>
                      <w:bCs/>
                      <w:color w:val="0070C0"/>
                      <w:sz w:val="24"/>
                      <w:szCs w:val="24"/>
                    </w:rPr>
                    <w:t>Net Benefit with Salary Packaging</w:t>
                  </w:r>
                </w:p>
              </w:tc>
              <w:tc>
                <w:tcPr>
                  <w:tcW w:w="2551" w:type="dxa"/>
                  <w:tcBorders>
                    <w:top w:val="nil"/>
                    <w:left w:val="nil"/>
                    <w:bottom w:val="nil"/>
                    <w:right w:val="nil"/>
                  </w:tcBorders>
                  <w:shd w:val="clear" w:color="auto" w:fill="auto"/>
                  <w:noWrap/>
                  <w:vAlign w:val="bottom"/>
                  <w:hideMark/>
                </w:tcPr>
                <w:p w:rsidR="008A060B" w:rsidRPr="00C70FBA" w:rsidRDefault="008A060B" w:rsidP="008A060B">
                  <w:pPr>
                    <w:spacing w:before="0" w:line="240" w:lineRule="auto"/>
                    <w:rPr>
                      <w:rFonts w:ascii="Calibri" w:hAnsi="Calibri"/>
                      <w:color w:val="0070C0"/>
                      <w:sz w:val="24"/>
                      <w:szCs w:val="24"/>
                    </w:rPr>
                  </w:pPr>
                </w:p>
              </w:tc>
              <w:tc>
                <w:tcPr>
                  <w:tcW w:w="2533" w:type="dxa"/>
                  <w:tcBorders>
                    <w:top w:val="nil"/>
                    <w:left w:val="nil"/>
                    <w:bottom w:val="nil"/>
                    <w:right w:val="nil"/>
                  </w:tcBorders>
                  <w:shd w:val="clear" w:color="auto" w:fill="auto"/>
                  <w:noWrap/>
                  <w:vAlign w:val="bottom"/>
                  <w:hideMark/>
                </w:tcPr>
                <w:p w:rsidR="008A060B" w:rsidRDefault="008A060B" w:rsidP="008A060B">
                  <w:pPr>
                    <w:spacing w:before="0" w:line="240" w:lineRule="auto"/>
                    <w:jc w:val="right"/>
                    <w:rPr>
                      <w:rFonts w:ascii="Calibri" w:hAnsi="Calibri"/>
                      <w:b/>
                      <w:bCs/>
                      <w:color w:val="0070C0"/>
                      <w:sz w:val="24"/>
                      <w:szCs w:val="24"/>
                    </w:rPr>
                  </w:pPr>
                  <w:r w:rsidRPr="00C70FBA">
                    <w:rPr>
                      <w:rFonts w:ascii="Calibri" w:hAnsi="Calibri"/>
                      <w:b/>
                      <w:bCs/>
                      <w:color w:val="0070C0"/>
                      <w:sz w:val="24"/>
                      <w:szCs w:val="24"/>
                    </w:rPr>
                    <w:t>$8,280</w:t>
                  </w:r>
                </w:p>
                <w:p w:rsidR="002E1921" w:rsidRPr="00C70FBA" w:rsidRDefault="00E75CF7" w:rsidP="008A060B">
                  <w:pPr>
                    <w:spacing w:before="0" w:line="240" w:lineRule="auto"/>
                    <w:jc w:val="right"/>
                    <w:rPr>
                      <w:rFonts w:ascii="Calibri" w:hAnsi="Calibri"/>
                      <w:b/>
                      <w:bCs/>
                      <w:color w:val="0070C0"/>
                      <w:sz w:val="24"/>
                      <w:szCs w:val="24"/>
                    </w:rPr>
                  </w:pPr>
                  <w:r>
                    <w:rPr>
                      <w:rFonts w:ascii="Calibri" w:hAnsi="Calibri"/>
                      <w:b/>
                      <w:bCs/>
                      <w:color w:val="0070C0"/>
                      <w:sz w:val="24"/>
                      <w:szCs w:val="24"/>
                    </w:rPr>
                    <w:t>($159.23 per week)</w:t>
                  </w:r>
                  <w:r w:rsidR="00C93C0C">
                    <w:rPr>
                      <w:rStyle w:val="FootnoteReference"/>
                      <w:rFonts w:ascii="Calibri" w:hAnsi="Calibri"/>
                      <w:b/>
                      <w:bCs/>
                      <w:color w:val="0070C0"/>
                      <w:sz w:val="24"/>
                      <w:szCs w:val="24"/>
                    </w:rPr>
                    <w:footnoteReference w:id="29"/>
                  </w:r>
                </w:p>
              </w:tc>
            </w:tr>
          </w:tbl>
          <w:p w:rsidR="008A060B" w:rsidRPr="00C70FBA" w:rsidRDefault="008A060B" w:rsidP="007E027D">
            <w:pPr>
              <w:pStyle w:val="NormalIndent"/>
              <w:ind w:left="0"/>
              <w:rPr>
                <w:color w:val="0070C0"/>
                <w:sz w:val="24"/>
                <w:szCs w:val="24"/>
              </w:rPr>
            </w:pPr>
          </w:p>
        </w:tc>
      </w:tr>
    </w:tbl>
    <w:p w:rsidR="005F6067" w:rsidRPr="00C70FBA" w:rsidRDefault="005F6067" w:rsidP="007E027D">
      <w:pPr>
        <w:pStyle w:val="NormalIndent"/>
        <w:rPr>
          <w:color w:val="0070C0"/>
          <w:sz w:val="24"/>
          <w:szCs w:val="24"/>
        </w:rPr>
      </w:pPr>
    </w:p>
    <w:p w:rsidR="0024094E" w:rsidRDefault="0024094E" w:rsidP="007E027D">
      <w:pPr>
        <w:pStyle w:val="NormalIndent"/>
      </w:pPr>
    </w:p>
    <w:p w:rsidR="00D96325" w:rsidRDefault="00D96325" w:rsidP="007E027D">
      <w:pPr>
        <w:pStyle w:val="NormalIndent"/>
        <w:sectPr w:rsidR="00D96325" w:rsidSect="00990313">
          <w:pgSz w:w="11907" w:h="16839" w:code="9"/>
          <w:pgMar w:top="1701" w:right="1134" w:bottom="1134" w:left="1417" w:header="567" w:footer="567" w:gutter="0"/>
          <w:cols w:space="720"/>
          <w:titlePg/>
          <w:docGrid w:linePitch="272"/>
        </w:sectPr>
      </w:pPr>
    </w:p>
    <w:p w:rsidR="005B13A7" w:rsidRPr="00504D59" w:rsidRDefault="00C15569" w:rsidP="00102490">
      <w:pPr>
        <w:pStyle w:val="AllensHeading1"/>
      </w:pPr>
      <w:bookmarkStart w:id="45" w:name="_Toc437947583"/>
      <w:r w:rsidRPr="00504D59">
        <w:lastRenderedPageBreak/>
        <w:t>FBT b</w:t>
      </w:r>
      <w:r w:rsidR="005B13A7" w:rsidRPr="00504D59">
        <w:t>roadsheet</w:t>
      </w:r>
      <w:r w:rsidRPr="00504D59">
        <w:t xml:space="preserve"> for employees</w:t>
      </w:r>
      <w:bookmarkEnd w:id="45"/>
    </w:p>
    <w:p w:rsidR="00D07B9C" w:rsidRDefault="00612797" w:rsidP="00612797">
      <w:pPr>
        <w:pStyle w:val="NormalIndent"/>
      </w:pPr>
      <w:r>
        <w:t xml:space="preserve">When negotiating a salary package with </w:t>
      </w:r>
      <w:r w:rsidR="001E5E95">
        <w:t>your</w:t>
      </w:r>
      <w:r>
        <w:t xml:space="preserve"> </w:t>
      </w:r>
      <w:r w:rsidR="00903753">
        <w:t>employer,</w:t>
      </w:r>
      <w:r>
        <w:t xml:space="preserve"> </w:t>
      </w:r>
      <w:r w:rsidR="00867781">
        <w:t xml:space="preserve">you </w:t>
      </w:r>
      <w:r>
        <w:t xml:space="preserve">should </w:t>
      </w:r>
      <w:r w:rsidR="00867781">
        <w:t xml:space="preserve">consider sacrificing some part of the salary or wages that you would otherwise be paid as an employee, and replacing this </w:t>
      </w:r>
      <w:r w:rsidR="001E5E95">
        <w:t xml:space="preserve">with </w:t>
      </w:r>
      <w:r w:rsidR="00867781">
        <w:t xml:space="preserve">certain </w:t>
      </w:r>
      <w:r w:rsidR="001E5E95">
        <w:t>n</w:t>
      </w:r>
      <w:r w:rsidR="00867781">
        <w:t xml:space="preserve">on-cash </w:t>
      </w:r>
      <w:r>
        <w:t xml:space="preserve">benefits that are either exempt from fringe benefits tax </w:t>
      </w:r>
      <w:r w:rsidR="003B4266">
        <w:t>(</w:t>
      </w:r>
      <w:r w:rsidR="003B4266" w:rsidRPr="003B4266">
        <w:rPr>
          <w:b/>
          <w:i/>
        </w:rPr>
        <w:t>FBT</w:t>
      </w:r>
      <w:r w:rsidR="003B4266">
        <w:t xml:space="preserve">) </w:t>
      </w:r>
      <w:r>
        <w:t xml:space="preserve">or concessionally taxed. This is because, in effect, the cost of the benefit to </w:t>
      </w:r>
      <w:r w:rsidR="00E73C14">
        <w:t xml:space="preserve">you </w:t>
      </w:r>
      <w:r w:rsidR="00903753">
        <w:t>will be</w:t>
      </w:r>
      <w:r w:rsidR="00E73C14">
        <w:t xml:space="preserve"> less </w:t>
      </w:r>
      <w:r w:rsidR="003B40CF">
        <w:t>than</w:t>
      </w:r>
      <w:r w:rsidR="00E73C14">
        <w:t xml:space="preserve"> </w:t>
      </w:r>
      <w:r>
        <w:t xml:space="preserve">what it would have been if </w:t>
      </w:r>
      <w:r w:rsidR="00E73C14">
        <w:t xml:space="preserve">you </w:t>
      </w:r>
      <w:r>
        <w:t xml:space="preserve">had otherwise been required to obtain that benefit using </w:t>
      </w:r>
      <w:r w:rsidR="00E73C14">
        <w:t xml:space="preserve">your </w:t>
      </w:r>
      <w:r>
        <w:t>after-</w:t>
      </w:r>
      <w:r w:rsidR="00852ED7">
        <w:t>tax salary and wages.</w:t>
      </w:r>
    </w:p>
    <w:p w:rsidR="00612797" w:rsidRDefault="00E73C14" w:rsidP="00612797">
      <w:pPr>
        <w:pStyle w:val="NormalIndent"/>
      </w:pPr>
      <w:r>
        <w:t>Some of t</w:t>
      </w:r>
      <w:r w:rsidR="00612797">
        <w:t xml:space="preserve">he main benefits that </w:t>
      </w:r>
      <w:r>
        <w:t xml:space="preserve">may interest you and which </w:t>
      </w:r>
      <w:r w:rsidR="005F1E37">
        <w:t xml:space="preserve">can be provided free of FBT </w:t>
      </w:r>
      <w:r>
        <w:t>include</w:t>
      </w:r>
      <w:r w:rsidR="00903753">
        <w:rPr>
          <w:rStyle w:val="FootnoteReference"/>
        </w:rPr>
        <w:footnoteReference w:id="30"/>
      </w:r>
      <w:r w:rsidR="00612797">
        <w:t xml:space="preserve">: </w:t>
      </w:r>
    </w:p>
    <w:p w:rsidR="00FF52FC" w:rsidRDefault="00FF52FC" w:rsidP="00FF52FC">
      <w:pPr>
        <w:pStyle w:val="Bullet2"/>
      </w:pPr>
      <w:r>
        <w:t xml:space="preserve">certain work related items primarily for use in </w:t>
      </w:r>
      <w:r w:rsidR="005F1E37">
        <w:t>your</w:t>
      </w:r>
      <w:r>
        <w:t xml:space="preserve"> employment such as portable or laptop computers and mobile phones (limited to one of each item per </w:t>
      </w:r>
      <w:r w:rsidR="005F1E37">
        <w:t>year</w:t>
      </w:r>
      <w:r>
        <w:t>);</w:t>
      </w:r>
    </w:p>
    <w:p w:rsidR="00FF52FC" w:rsidRDefault="00FF52FC" w:rsidP="00FF52FC">
      <w:pPr>
        <w:pStyle w:val="Bullet2"/>
      </w:pPr>
      <w:r>
        <w:t>membership and subscription fees for professional journals, corporate credit cards and airport lounge membership;</w:t>
      </w:r>
    </w:p>
    <w:p w:rsidR="00FF52FC" w:rsidRDefault="00FF52FC" w:rsidP="00FF52FC">
      <w:pPr>
        <w:pStyle w:val="Bullet2"/>
      </w:pPr>
      <w:r>
        <w:t>employer contributions to a complying superannuation fund on</w:t>
      </w:r>
      <w:r w:rsidR="005F1E37">
        <w:t xml:space="preserve"> your</w:t>
      </w:r>
      <w:r>
        <w:t xml:space="preserve"> behalf; and</w:t>
      </w:r>
    </w:p>
    <w:p w:rsidR="00FF52FC" w:rsidRDefault="005F1E37" w:rsidP="005F1E37">
      <w:pPr>
        <w:pStyle w:val="Bullet2"/>
      </w:pPr>
      <w:r>
        <w:t xml:space="preserve">any </w:t>
      </w:r>
      <w:r w:rsidRPr="005F1E37">
        <w:t xml:space="preserve">benefit in respect of which </w:t>
      </w:r>
      <w:r>
        <w:t>you</w:t>
      </w:r>
      <w:r w:rsidRPr="005F1E37">
        <w:t xml:space="preserve"> would be entitled to claim a </w:t>
      </w:r>
      <w:r w:rsidR="0067751B">
        <w:t xml:space="preserve">one-off </w:t>
      </w:r>
      <w:r w:rsidRPr="005F1E37">
        <w:t xml:space="preserve">tax deduction if </w:t>
      </w:r>
      <w:r>
        <w:t>you had paid for the benefit yourse</w:t>
      </w:r>
      <w:r w:rsidRPr="005F1E37">
        <w:t>lf</w:t>
      </w:r>
      <w:r w:rsidR="00610DA5">
        <w:t>.</w:t>
      </w:r>
    </w:p>
    <w:p w:rsidR="00610DA5" w:rsidRDefault="00610DA5" w:rsidP="00610DA5">
      <w:pPr>
        <w:pStyle w:val="NormalIndent"/>
      </w:pPr>
      <w:r>
        <w:t xml:space="preserve">The Commissioner of Taxation accepts that employers and employees are free to negotiate a salary package in this way provided that </w:t>
      </w:r>
      <w:r w:rsidRPr="00F37E45">
        <w:t xml:space="preserve">the employee </w:t>
      </w:r>
      <w:r>
        <w:t xml:space="preserve">only </w:t>
      </w:r>
      <w:r w:rsidRPr="00F37E45">
        <w:t xml:space="preserve">sacrifices future entitlements to salary or wages in return for the employer providing </w:t>
      </w:r>
      <w:r>
        <w:t>the relevant</w:t>
      </w:r>
      <w:r w:rsidRPr="00F37E45">
        <w:t xml:space="preserve"> fringe benefit</w:t>
      </w:r>
      <w:r>
        <w:t>s.</w:t>
      </w:r>
    </w:p>
    <w:p w:rsidR="00D07B9C" w:rsidRDefault="00F37E45" w:rsidP="00612797">
      <w:pPr>
        <w:pStyle w:val="NormalIndent"/>
      </w:pPr>
      <w:r>
        <w:t>Additionally, there are</w:t>
      </w:r>
      <w:r w:rsidR="00612797">
        <w:t xml:space="preserve"> certain</w:t>
      </w:r>
      <w:r>
        <w:t xml:space="preserve"> FBT</w:t>
      </w:r>
      <w:r w:rsidR="00612797">
        <w:t xml:space="preserve"> exemptions and concessions that are only available to particular categories of </w:t>
      </w:r>
      <w:r w:rsidR="00903753">
        <w:t xml:space="preserve">employer, </w:t>
      </w:r>
      <w:r w:rsidR="00903753" w:rsidRPr="00903753">
        <w:t xml:space="preserve">such as </w:t>
      </w:r>
      <w:r w:rsidR="003C4480">
        <w:t>Community Legal C</w:t>
      </w:r>
      <w:r w:rsidR="00903753" w:rsidRPr="00903753">
        <w:t>entres</w:t>
      </w:r>
      <w:r>
        <w:t>, that are exempt from income tax</w:t>
      </w:r>
      <w:r w:rsidR="00903753">
        <w:t xml:space="preserve">. </w:t>
      </w:r>
      <w:r w:rsidR="008A7251">
        <w:t>If your employer</w:t>
      </w:r>
      <w:r w:rsidR="00903753">
        <w:t xml:space="preserve"> is a </w:t>
      </w:r>
      <w:r w:rsidR="00612797">
        <w:t>public benevolen</w:t>
      </w:r>
      <w:r w:rsidR="00903753">
        <w:t>t institution</w:t>
      </w:r>
      <w:r w:rsidR="00E73C14">
        <w:t xml:space="preserve">, </w:t>
      </w:r>
      <w:r w:rsidR="00903753">
        <w:t xml:space="preserve">it </w:t>
      </w:r>
      <w:r w:rsidR="00612797">
        <w:t xml:space="preserve">can provide </w:t>
      </w:r>
      <w:r w:rsidR="00903753">
        <w:t>its</w:t>
      </w:r>
      <w:r w:rsidR="00E73C14">
        <w:t xml:space="preserve"> employees </w:t>
      </w:r>
      <w:r w:rsidR="00612797">
        <w:t xml:space="preserve">with any type of </w:t>
      </w:r>
      <w:r w:rsidR="00D07B9C">
        <w:t xml:space="preserve">fringe </w:t>
      </w:r>
      <w:r w:rsidR="00612797">
        <w:t xml:space="preserve">benefit, up to a </w:t>
      </w:r>
      <w:r w:rsidR="00B504C7">
        <w:t xml:space="preserve">grossed-up </w:t>
      </w:r>
      <w:r w:rsidR="00612797">
        <w:t>value of $3</w:t>
      </w:r>
      <w:r w:rsidR="003F51F3">
        <w:t>1,177</w:t>
      </w:r>
      <w:r w:rsidR="00612797">
        <w:t>,</w:t>
      </w:r>
      <w:r w:rsidR="00E73C14">
        <w:t xml:space="preserve"> free of </w:t>
      </w:r>
      <w:r w:rsidR="003B4266">
        <w:t>FBT (this is in addition to any benefits that are otherwise exempt from FBT)</w:t>
      </w:r>
      <w:r w:rsidR="005D2A38">
        <w:t>.</w:t>
      </w:r>
    </w:p>
    <w:p w:rsidR="00612797" w:rsidRDefault="00F37E45" w:rsidP="00612797">
      <w:pPr>
        <w:pStyle w:val="NormalIndent"/>
      </w:pPr>
      <w:r>
        <w:t>This means that</w:t>
      </w:r>
      <w:r w:rsidR="00E73C14">
        <w:t xml:space="preserve"> you could arrange for </w:t>
      </w:r>
      <w:r w:rsidR="003C4480">
        <w:t>your employer</w:t>
      </w:r>
      <w:r w:rsidR="00E73C14">
        <w:t xml:space="preserve"> to</w:t>
      </w:r>
      <w:r w:rsidR="001E1BFF">
        <w:t>, for instance,</w:t>
      </w:r>
      <w:r w:rsidR="00E73C14">
        <w:t xml:space="preserve"> reimburse you for an amount equal to </w:t>
      </w:r>
      <w:r w:rsidR="001E1BFF">
        <w:t>part of your</w:t>
      </w:r>
      <w:r w:rsidR="00E73C14">
        <w:t xml:space="preserve"> housing loan repayment</w:t>
      </w:r>
      <w:r w:rsidR="001E1BFF">
        <w:t>s</w:t>
      </w:r>
      <w:r w:rsidR="00E73C14">
        <w:t xml:space="preserve"> (up to a maximum amount of $</w:t>
      </w:r>
      <w:r w:rsidR="00880369">
        <w:t>15,</w:t>
      </w:r>
      <w:r w:rsidR="00D35B60">
        <w:t>900</w:t>
      </w:r>
      <w:r w:rsidR="0067751B">
        <w:t xml:space="preserve"> per FBT year</w:t>
      </w:r>
      <w:r w:rsidR="00C34276">
        <w:rPr>
          <w:rStyle w:val="FootnoteReference"/>
        </w:rPr>
        <w:footnoteReference w:id="31"/>
      </w:r>
      <w:r w:rsidR="00E73C14">
        <w:t xml:space="preserve">). Although </w:t>
      </w:r>
      <w:r w:rsidR="008A7251">
        <w:t xml:space="preserve">your employer </w:t>
      </w:r>
      <w:r w:rsidR="003B4266">
        <w:t>will</w:t>
      </w:r>
      <w:r w:rsidR="00E73C14">
        <w:t xml:space="preserve"> reduce</w:t>
      </w:r>
      <w:r w:rsidR="00880369">
        <w:t xml:space="preserve"> the cash component of your salary and wages</w:t>
      </w:r>
      <w:r w:rsidR="00E73C14">
        <w:t xml:space="preserve"> by a</w:t>
      </w:r>
      <w:r w:rsidR="003B4266">
        <w:t>n amount</w:t>
      </w:r>
      <w:r w:rsidR="00E73C14">
        <w:t xml:space="preserve"> corresponding </w:t>
      </w:r>
      <w:r w:rsidR="003B4266">
        <w:t>with the reimbursement (</w:t>
      </w:r>
      <w:r w:rsidR="003F51F3">
        <w:t>ie</w:t>
      </w:r>
      <w:r w:rsidR="003B4266">
        <w:t>, the salary sacrifice</w:t>
      </w:r>
      <w:r w:rsidR="003F51F3">
        <w:t>d</w:t>
      </w:r>
      <w:r w:rsidR="003B4266">
        <w:t xml:space="preserve"> component of your remuneration package)</w:t>
      </w:r>
      <w:r w:rsidR="00E73C14">
        <w:t xml:space="preserve">, </w:t>
      </w:r>
      <w:r w:rsidR="00880369">
        <w:t>the</w:t>
      </w:r>
      <w:r w:rsidR="00E73C14">
        <w:t xml:space="preserve"> income tax </w:t>
      </w:r>
      <w:r w:rsidR="00880369">
        <w:t>you have to pay</w:t>
      </w:r>
      <w:r w:rsidR="00E73C14">
        <w:t xml:space="preserve"> </w:t>
      </w:r>
      <w:r w:rsidR="00D07B9C">
        <w:t xml:space="preserve">on your </w:t>
      </w:r>
      <w:r w:rsidR="003B4266">
        <w:t xml:space="preserve">remaining </w:t>
      </w:r>
      <w:r w:rsidR="00D07B9C">
        <w:t xml:space="preserve">salary and wages </w:t>
      </w:r>
      <w:r w:rsidR="00E73C14">
        <w:t>will be less than it would have been if you had not entered into such a salary packaging arrangement.</w:t>
      </w:r>
    </w:p>
    <w:p w:rsidR="00E73C14" w:rsidRDefault="003C4480" w:rsidP="00612797">
      <w:pPr>
        <w:pStyle w:val="NormalIndent"/>
      </w:pPr>
      <w:r>
        <w:t>Community Legal C</w:t>
      </w:r>
      <w:r w:rsidR="00E73C14">
        <w:t xml:space="preserve">entres </w:t>
      </w:r>
      <w:r w:rsidR="00880369">
        <w:t>can also</w:t>
      </w:r>
      <w:r w:rsidR="00E73C14">
        <w:t xml:space="preserve"> provide employees with three other types of </w:t>
      </w:r>
      <w:r w:rsidR="003B4266">
        <w:t xml:space="preserve">fringe </w:t>
      </w:r>
      <w:r w:rsidR="00E73C14">
        <w:t>benef</w:t>
      </w:r>
      <w:r w:rsidR="001E5E95">
        <w:t xml:space="preserve">its </w:t>
      </w:r>
      <w:r w:rsidR="00D07B9C">
        <w:t>(</w:t>
      </w:r>
      <w:r w:rsidR="003F51F3">
        <w:t xml:space="preserve">currently </w:t>
      </w:r>
      <w:r w:rsidR="00D07B9C">
        <w:t>with no monetary cap on the value of those benefits</w:t>
      </w:r>
      <w:r w:rsidR="008C4628">
        <w:rPr>
          <w:rStyle w:val="FootnoteReference"/>
        </w:rPr>
        <w:footnoteReference w:id="32"/>
      </w:r>
      <w:r w:rsidR="00D07B9C">
        <w:t xml:space="preserve">) </w:t>
      </w:r>
      <w:r w:rsidR="001E5E95">
        <w:t xml:space="preserve">that are excluded from the </w:t>
      </w:r>
      <w:r w:rsidR="003B4266">
        <w:t>FBT</w:t>
      </w:r>
      <w:r w:rsidR="00E73C14">
        <w:t xml:space="preserve"> rules:</w:t>
      </w:r>
    </w:p>
    <w:p w:rsidR="00E73C14" w:rsidRDefault="00F25776" w:rsidP="00F25776">
      <w:pPr>
        <w:pStyle w:val="Bullet2"/>
      </w:pPr>
      <w:r w:rsidRPr="00F25776">
        <w:lastRenderedPageBreak/>
        <w:t>entertainment by way of food or drink and accommodation,</w:t>
      </w:r>
      <w:r w:rsidR="00292799">
        <w:t xml:space="preserve"> </w:t>
      </w:r>
      <w:r w:rsidRPr="00F25776">
        <w:t>travel or reimbursement of expenses related to that entertainment</w:t>
      </w:r>
      <w:r w:rsidR="0067751B">
        <w:t xml:space="preserve"> (</w:t>
      </w:r>
      <w:r w:rsidR="00755F5E">
        <w:t>for instance</w:t>
      </w:r>
      <w:r w:rsidR="0067751B">
        <w:t>, paying for your meal at a restaurant)</w:t>
      </w:r>
      <w:r w:rsidR="00E73C14">
        <w:t>;</w:t>
      </w:r>
    </w:p>
    <w:p w:rsidR="00E73C14" w:rsidRDefault="00E73C14" w:rsidP="00E73C14">
      <w:pPr>
        <w:pStyle w:val="Bullet2"/>
      </w:pPr>
      <w:r>
        <w:t>entertainment facility leasing</w:t>
      </w:r>
      <w:r w:rsidR="001E5E95">
        <w:t xml:space="preserve"> expenses</w:t>
      </w:r>
      <w:r w:rsidR="0067751B">
        <w:t xml:space="preserve"> (</w:t>
      </w:r>
      <w:r w:rsidR="00610DA5">
        <w:t xml:space="preserve">for </w:t>
      </w:r>
      <w:r w:rsidR="00755F5E">
        <w:t>instance</w:t>
      </w:r>
      <w:r w:rsidR="0067751B">
        <w:t>, paying for your holiday accommodation)</w:t>
      </w:r>
      <w:r>
        <w:t>; and</w:t>
      </w:r>
    </w:p>
    <w:p w:rsidR="00E73C14" w:rsidRDefault="00E73C14" w:rsidP="00E73C14">
      <w:pPr>
        <w:pStyle w:val="Bullet2"/>
      </w:pPr>
      <w:r>
        <w:t>car parking</w:t>
      </w:r>
      <w:r w:rsidR="00F25776">
        <w:t xml:space="preserve"> fringe benefits</w:t>
      </w:r>
      <w:r>
        <w:t>.</w:t>
      </w:r>
    </w:p>
    <w:p w:rsidR="00612797" w:rsidRDefault="00612797" w:rsidP="00612797">
      <w:pPr>
        <w:pStyle w:val="NormalIndent"/>
      </w:pPr>
      <w:r>
        <w:t xml:space="preserve">The example below illustrates the benefits </w:t>
      </w:r>
      <w:r w:rsidR="00E73C14">
        <w:t xml:space="preserve">you can obtain from </w:t>
      </w:r>
      <w:r>
        <w:t xml:space="preserve">salary packaging having regard to </w:t>
      </w:r>
      <w:r w:rsidR="00E73C14">
        <w:t xml:space="preserve">the various </w:t>
      </w:r>
      <w:r w:rsidR="00903753">
        <w:t xml:space="preserve">FBT </w:t>
      </w:r>
      <w:r w:rsidR="00E73C14">
        <w:t>exemptions and concessions</w:t>
      </w:r>
      <w:r w:rsidR="00903753">
        <w:t xml:space="preserve"> th</w:t>
      </w:r>
      <w:r w:rsidR="00880369">
        <w:t>at are available</w:t>
      </w:r>
      <w:r w:rsidR="00903753">
        <w:t xml:space="preserve"> to </w:t>
      </w:r>
      <w:r w:rsidR="008A7251">
        <w:t>Community Legal Centres</w:t>
      </w:r>
      <w:r w:rsidR="00C93C0C">
        <w:rPr>
          <w:rStyle w:val="FootnoteReference"/>
        </w:rPr>
        <w:footnoteReference w:id="33"/>
      </w:r>
      <w:r>
        <w:t xml:space="preserve">. </w:t>
      </w:r>
      <w:r w:rsidR="003F51F3">
        <w:t>A</w:t>
      </w:r>
      <w:r w:rsidR="008F0C60">
        <w:t>n employee is free to sacrifice salary or wages for any type of fringe benefit desired, s</w:t>
      </w:r>
      <w:r w:rsidR="008F0C60" w:rsidRPr="008F0C60">
        <w:t xml:space="preserve">ubject to any </w:t>
      </w:r>
      <w:r w:rsidR="008F0C60">
        <w:t xml:space="preserve">employment policies </w:t>
      </w:r>
      <w:r w:rsidR="0067751B">
        <w:t>the</w:t>
      </w:r>
      <w:r w:rsidR="008F0C60" w:rsidRPr="008F0C60">
        <w:t xml:space="preserve"> employer </w:t>
      </w:r>
      <w:r w:rsidR="008F0C60">
        <w:t>has that restrict t</w:t>
      </w:r>
      <w:r w:rsidR="008F0C60" w:rsidRPr="008F0C60">
        <w:t>he types of fringe benefits that it is willi</w:t>
      </w:r>
      <w:r w:rsidR="008F0C60">
        <w:t>ng to provide.</w:t>
      </w:r>
      <w:r w:rsidR="005C3EFF">
        <w:t xml:space="preserve"> You should discuss with </w:t>
      </w:r>
      <w:r w:rsidR="008A7251">
        <w:t>your employer</w:t>
      </w:r>
      <w:r w:rsidR="005C3EFF">
        <w:t xml:space="preserve"> any restrictions that it has in relation to fringe benefits that can be included in your remuneration package</w:t>
      </w:r>
      <w:r w:rsidR="00610DA5">
        <w:t>.</w:t>
      </w:r>
    </w:p>
    <w:p w:rsidR="00283525" w:rsidRPr="00135519" w:rsidRDefault="00283525" w:rsidP="00632892">
      <w:pPr>
        <w:pStyle w:val="NormalIndent"/>
        <w:spacing w:line="240" w:lineRule="auto"/>
        <w:rPr>
          <w:color w:val="0070C0"/>
          <w:sz w:val="22"/>
          <w:szCs w:val="22"/>
        </w:rPr>
      </w:pPr>
    </w:p>
    <w:tbl>
      <w:tblPr>
        <w:tblW w:w="8647" w:type="dxa"/>
        <w:tblInd w:w="715" w:type="dxa"/>
        <w:tblLook w:val="04A0"/>
      </w:tblPr>
      <w:tblGrid>
        <w:gridCol w:w="3303"/>
        <w:gridCol w:w="260"/>
        <w:gridCol w:w="2551"/>
        <w:gridCol w:w="2533"/>
      </w:tblGrid>
      <w:tr w:rsidR="004C370C" w:rsidRPr="00135519" w:rsidTr="004C370C">
        <w:trPr>
          <w:trHeight w:val="357"/>
        </w:trPr>
        <w:tc>
          <w:tcPr>
            <w:tcW w:w="3563" w:type="dxa"/>
            <w:gridSpan w:val="2"/>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b/>
                <w:bCs/>
                <w:color w:val="0070C0"/>
                <w:sz w:val="22"/>
                <w:szCs w:val="22"/>
              </w:rPr>
            </w:pPr>
            <w:r w:rsidRPr="00135519">
              <w:rPr>
                <w:rFonts w:ascii="Calibri" w:hAnsi="Calibri"/>
                <w:b/>
                <w:bCs/>
                <w:color w:val="0070C0"/>
                <w:sz w:val="22"/>
                <w:szCs w:val="22"/>
              </w:rPr>
              <w:t>Tax Savings Calculator (201</w:t>
            </w:r>
            <w:r w:rsidR="003F51F3" w:rsidRPr="00135519">
              <w:rPr>
                <w:rFonts w:ascii="Calibri" w:hAnsi="Calibri"/>
                <w:b/>
                <w:bCs/>
                <w:color w:val="0070C0"/>
                <w:sz w:val="22"/>
                <w:szCs w:val="22"/>
              </w:rPr>
              <w:t>5</w:t>
            </w:r>
            <w:r w:rsidRPr="00135519">
              <w:rPr>
                <w:rFonts w:ascii="Calibri" w:hAnsi="Calibri"/>
                <w:b/>
                <w:bCs/>
                <w:color w:val="0070C0"/>
                <w:sz w:val="22"/>
                <w:szCs w:val="22"/>
              </w:rPr>
              <w:t>/201</w:t>
            </w:r>
            <w:r w:rsidR="003F51F3" w:rsidRPr="00135519">
              <w:rPr>
                <w:rFonts w:ascii="Calibri" w:hAnsi="Calibri"/>
                <w:b/>
                <w:bCs/>
                <w:color w:val="0070C0"/>
                <w:sz w:val="22"/>
                <w:szCs w:val="22"/>
              </w:rPr>
              <w:t>6</w:t>
            </w:r>
            <w:r w:rsidRPr="00135519">
              <w:rPr>
                <w:rFonts w:ascii="Calibri" w:hAnsi="Calibri"/>
                <w:b/>
                <w:bCs/>
                <w:color w:val="0070C0"/>
                <w:sz w:val="22"/>
                <w:szCs w:val="22"/>
              </w:rPr>
              <w:t>)</w:t>
            </w:r>
            <w:r w:rsidR="00C93C0C" w:rsidRPr="00135519">
              <w:rPr>
                <w:rStyle w:val="FootnoteReference"/>
                <w:rFonts w:ascii="Calibri" w:hAnsi="Calibri"/>
                <w:b/>
                <w:bCs/>
                <w:color w:val="0070C0"/>
                <w:sz w:val="22"/>
                <w:szCs w:val="22"/>
              </w:rPr>
              <w:footnoteReference w:id="34"/>
            </w: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b/>
                <w:bCs/>
                <w:color w:val="0070C0"/>
                <w:sz w:val="22"/>
                <w:szCs w:val="22"/>
              </w:rPr>
            </w:pPr>
            <w:r w:rsidRPr="00135519">
              <w:rPr>
                <w:rFonts w:ascii="Calibri" w:hAnsi="Calibri"/>
                <w:b/>
                <w:bCs/>
                <w:color w:val="0070C0"/>
                <w:sz w:val="22"/>
                <w:szCs w:val="22"/>
              </w:rPr>
              <w:t>Without Salary Packaging</w:t>
            </w: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b/>
                <w:bCs/>
                <w:color w:val="0070C0"/>
                <w:sz w:val="22"/>
                <w:szCs w:val="22"/>
              </w:rPr>
            </w:pPr>
            <w:r w:rsidRPr="00135519">
              <w:rPr>
                <w:rFonts w:ascii="Calibri" w:hAnsi="Calibri"/>
                <w:b/>
                <w:bCs/>
                <w:color w:val="0070C0"/>
                <w:sz w:val="22"/>
                <w:szCs w:val="22"/>
              </w:rPr>
              <w:t>With Salary Packaging</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b/>
                <w:bCs/>
                <w:color w:val="0070C0"/>
                <w:sz w:val="22"/>
                <w:szCs w:val="22"/>
              </w:rPr>
            </w:pPr>
            <w:r w:rsidRPr="00135519">
              <w:rPr>
                <w:rFonts w:ascii="Calibri" w:hAnsi="Calibri"/>
                <w:b/>
                <w:bCs/>
                <w:color w:val="0070C0"/>
                <w:sz w:val="22"/>
                <w:szCs w:val="22"/>
              </w:rPr>
              <w:t xml:space="preserve">Total Cash Available After Tax </w:t>
            </w: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jc w:val="right"/>
              <w:rPr>
                <w:rFonts w:ascii="Calibri" w:hAnsi="Calibri"/>
                <w:b/>
                <w:bCs/>
                <w:color w:val="0070C0"/>
                <w:sz w:val="22"/>
                <w:szCs w:val="22"/>
              </w:rPr>
            </w:pPr>
            <w:r w:rsidRPr="00135519">
              <w:rPr>
                <w:rFonts w:ascii="Calibri" w:hAnsi="Calibri"/>
                <w:b/>
                <w:bCs/>
                <w:color w:val="0070C0"/>
                <w:sz w:val="22"/>
                <w:szCs w:val="22"/>
              </w:rPr>
              <w:t>$25,493</w:t>
            </w: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jc w:val="right"/>
              <w:rPr>
                <w:rFonts w:ascii="Calibri" w:hAnsi="Calibri"/>
                <w:b/>
                <w:bCs/>
                <w:color w:val="0070C0"/>
                <w:sz w:val="22"/>
                <w:szCs w:val="22"/>
              </w:rPr>
            </w:pPr>
            <w:r w:rsidRPr="00135519">
              <w:rPr>
                <w:rFonts w:ascii="Calibri" w:hAnsi="Calibri"/>
                <w:b/>
                <w:bCs/>
                <w:color w:val="0070C0"/>
                <w:sz w:val="22"/>
                <w:szCs w:val="22"/>
              </w:rPr>
              <w:t>$33,773</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Gross/Pre-Tax Salary</w:t>
            </w: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jc w:val="right"/>
              <w:rPr>
                <w:rFonts w:ascii="Calibri" w:hAnsi="Calibri"/>
                <w:color w:val="0070C0"/>
                <w:sz w:val="22"/>
                <w:szCs w:val="22"/>
              </w:rPr>
            </w:pPr>
            <w:r w:rsidRPr="00135519">
              <w:rPr>
                <w:rFonts w:ascii="Calibri" w:hAnsi="Calibri"/>
                <w:color w:val="0070C0"/>
                <w:sz w:val="22"/>
                <w:szCs w:val="22"/>
              </w:rPr>
              <w:t>$61,000</w:t>
            </w:r>
          </w:p>
        </w:tc>
        <w:tc>
          <w:tcPr>
            <w:tcW w:w="2533" w:type="dxa"/>
            <w:tcBorders>
              <w:top w:val="nil"/>
              <w:left w:val="nil"/>
              <w:bottom w:val="nil"/>
              <w:right w:val="nil"/>
            </w:tcBorders>
            <w:shd w:val="clear" w:color="auto" w:fill="auto"/>
            <w:noWrap/>
            <w:vAlign w:val="bottom"/>
            <w:hideMark/>
          </w:tcPr>
          <w:p w:rsidR="00283525" w:rsidRPr="00135519" w:rsidRDefault="00E75CF7" w:rsidP="00632892">
            <w:pPr>
              <w:spacing w:before="0" w:line="240" w:lineRule="auto"/>
              <w:jc w:val="right"/>
              <w:rPr>
                <w:rFonts w:ascii="Calibri" w:hAnsi="Calibri"/>
                <w:color w:val="0070C0"/>
                <w:sz w:val="22"/>
                <w:szCs w:val="22"/>
              </w:rPr>
            </w:pPr>
            <w:r w:rsidRPr="00135519">
              <w:rPr>
                <w:rFonts w:ascii="Calibri" w:hAnsi="Calibri"/>
                <w:color w:val="0070C0"/>
                <w:sz w:val="22"/>
                <w:szCs w:val="22"/>
              </w:rPr>
              <w:t>$38,0</w:t>
            </w:r>
            <w:r w:rsidR="00283525" w:rsidRPr="00135519">
              <w:rPr>
                <w:rFonts w:ascii="Calibri" w:hAnsi="Calibri"/>
                <w:color w:val="0070C0"/>
                <w:sz w:val="22"/>
                <w:szCs w:val="22"/>
              </w:rPr>
              <w:t>00</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3715CA"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Income Tax Payable</w:t>
            </w: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$12,507</w:t>
            </w:r>
            <w:r w:rsidRPr="00135519">
              <w:rPr>
                <w:rFonts w:ascii="Calibri" w:hAnsi="Calibri"/>
                <w:color w:val="0070C0"/>
                <w:sz w:val="22"/>
                <w:szCs w:val="22"/>
              </w:rPr>
              <w:t>)</w:t>
            </w:r>
          </w:p>
        </w:tc>
        <w:tc>
          <w:tcPr>
            <w:tcW w:w="2533"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E75CF7" w:rsidRPr="00135519">
              <w:rPr>
                <w:rFonts w:ascii="Calibri" w:hAnsi="Calibri"/>
                <w:color w:val="0070C0"/>
                <w:sz w:val="22"/>
                <w:szCs w:val="22"/>
              </w:rPr>
              <w:t>$4,227</w:t>
            </w:r>
            <w:r w:rsidRPr="00135519">
              <w:rPr>
                <w:rFonts w:ascii="Calibri" w:hAnsi="Calibri"/>
                <w:color w:val="0070C0"/>
                <w:sz w:val="22"/>
                <w:szCs w:val="22"/>
              </w:rPr>
              <w:t>)</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3715CA"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FBT Exempt Expenditure</w:t>
            </w:r>
            <w:r w:rsidR="00E75CF7" w:rsidRPr="00135519">
              <w:rPr>
                <w:rFonts w:ascii="Calibri" w:hAnsi="Calibri"/>
                <w:color w:val="0070C0"/>
                <w:sz w:val="22"/>
                <w:szCs w:val="22"/>
              </w:rPr>
              <w:t xml:space="preserve"> - PBI</w:t>
            </w: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$15,900</w:t>
            </w:r>
            <w:r w:rsidRPr="00135519">
              <w:rPr>
                <w:rFonts w:ascii="Calibri" w:hAnsi="Calibri"/>
                <w:color w:val="0070C0"/>
                <w:sz w:val="22"/>
                <w:szCs w:val="22"/>
              </w:rPr>
              <w:t>)</w:t>
            </w:r>
          </w:p>
        </w:tc>
        <w:tc>
          <w:tcPr>
            <w:tcW w:w="2533"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$15,900</w:t>
            </w:r>
            <w:r w:rsidRPr="00135519">
              <w:rPr>
                <w:rFonts w:ascii="Calibri" w:hAnsi="Calibri"/>
                <w:color w:val="0070C0"/>
                <w:sz w:val="22"/>
                <w:szCs w:val="22"/>
              </w:rPr>
              <w:t>)</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4C370C" w:rsidRPr="00135519" w:rsidTr="004C370C">
        <w:trPr>
          <w:trHeight w:val="357"/>
        </w:trPr>
        <w:tc>
          <w:tcPr>
            <w:tcW w:w="3563" w:type="dxa"/>
            <w:gridSpan w:val="2"/>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Meal Entertainment Expenditure</w:t>
            </w:r>
          </w:p>
        </w:tc>
        <w:tc>
          <w:tcPr>
            <w:tcW w:w="2551"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$2,600</w:t>
            </w:r>
            <w:r w:rsidRPr="00135519">
              <w:rPr>
                <w:rFonts w:ascii="Calibri" w:hAnsi="Calibri"/>
                <w:color w:val="0070C0"/>
                <w:sz w:val="22"/>
                <w:szCs w:val="22"/>
              </w:rPr>
              <w:t>)</w:t>
            </w:r>
          </w:p>
        </w:tc>
        <w:tc>
          <w:tcPr>
            <w:tcW w:w="2533"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$2,600</w:t>
            </w:r>
            <w:r w:rsidRPr="00135519">
              <w:rPr>
                <w:rFonts w:ascii="Calibri" w:hAnsi="Calibri"/>
                <w:color w:val="0070C0"/>
                <w:sz w:val="22"/>
                <w:szCs w:val="22"/>
              </w:rPr>
              <w:t>)</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3715CA" w:rsidRPr="00135519" w:rsidTr="004C370C">
        <w:trPr>
          <w:trHeight w:val="357"/>
        </w:trPr>
        <w:tc>
          <w:tcPr>
            <w:tcW w:w="3563" w:type="dxa"/>
            <w:gridSpan w:val="2"/>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 xml:space="preserve">Entertainment Facility </w:t>
            </w:r>
            <w:r w:rsidR="00E75CF7" w:rsidRPr="00135519">
              <w:rPr>
                <w:rFonts w:ascii="Calibri" w:hAnsi="Calibri"/>
                <w:color w:val="0070C0"/>
                <w:sz w:val="22"/>
                <w:szCs w:val="22"/>
              </w:rPr>
              <w:t xml:space="preserve">Leasing </w:t>
            </w:r>
            <w:r w:rsidRPr="00135519">
              <w:rPr>
                <w:rFonts w:ascii="Calibri" w:hAnsi="Calibri"/>
                <w:color w:val="0070C0"/>
                <w:sz w:val="22"/>
                <w:szCs w:val="22"/>
              </w:rPr>
              <w:t>Expenditure</w:t>
            </w:r>
          </w:p>
        </w:tc>
        <w:tc>
          <w:tcPr>
            <w:tcW w:w="2551"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$3,000</w:t>
            </w:r>
            <w:r w:rsidRPr="00135519">
              <w:rPr>
                <w:rFonts w:ascii="Calibri" w:hAnsi="Calibri"/>
                <w:color w:val="0070C0"/>
                <w:sz w:val="22"/>
                <w:szCs w:val="22"/>
              </w:rPr>
              <w:t>)</w:t>
            </w:r>
          </w:p>
        </w:tc>
        <w:tc>
          <w:tcPr>
            <w:tcW w:w="2533"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$3,000</w:t>
            </w:r>
            <w:r w:rsidRPr="00135519">
              <w:rPr>
                <w:rFonts w:ascii="Calibri" w:hAnsi="Calibri"/>
                <w:color w:val="0070C0"/>
                <w:sz w:val="22"/>
                <w:szCs w:val="22"/>
              </w:rPr>
              <w:t>)</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 xml:space="preserve">Other FBT Exempt </w:t>
            </w:r>
            <w:r w:rsidR="00E75CF7" w:rsidRPr="00135519">
              <w:rPr>
                <w:rFonts w:ascii="Calibri" w:hAnsi="Calibri"/>
                <w:color w:val="0070C0"/>
                <w:sz w:val="22"/>
                <w:szCs w:val="22"/>
              </w:rPr>
              <w:t>Expenditure</w:t>
            </w: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$1,500</w:t>
            </w:r>
            <w:r w:rsidRPr="00135519">
              <w:rPr>
                <w:rFonts w:ascii="Calibri" w:hAnsi="Calibri"/>
                <w:color w:val="0070C0"/>
                <w:sz w:val="22"/>
                <w:szCs w:val="22"/>
              </w:rPr>
              <w:t>)</w:t>
            </w:r>
          </w:p>
        </w:tc>
        <w:tc>
          <w:tcPr>
            <w:tcW w:w="2533" w:type="dxa"/>
            <w:tcBorders>
              <w:top w:val="nil"/>
              <w:left w:val="nil"/>
              <w:bottom w:val="nil"/>
              <w:right w:val="nil"/>
            </w:tcBorders>
            <w:shd w:val="clear" w:color="auto" w:fill="auto"/>
            <w:noWrap/>
            <w:vAlign w:val="bottom"/>
            <w:hideMark/>
          </w:tcPr>
          <w:p w:rsidR="00283525" w:rsidRPr="00135519" w:rsidRDefault="004C370C" w:rsidP="00632892">
            <w:pPr>
              <w:spacing w:before="0" w:line="240" w:lineRule="auto"/>
              <w:jc w:val="right"/>
              <w:rPr>
                <w:rFonts w:ascii="Calibri" w:hAnsi="Calibri"/>
                <w:color w:val="0070C0"/>
                <w:sz w:val="22"/>
                <w:szCs w:val="22"/>
              </w:rPr>
            </w:pPr>
            <w:r w:rsidRPr="00135519">
              <w:rPr>
                <w:rFonts w:ascii="Calibri" w:hAnsi="Calibri"/>
                <w:color w:val="0070C0"/>
                <w:sz w:val="22"/>
                <w:szCs w:val="22"/>
              </w:rPr>
              <w:t>(</w:t>
            </w:r>
            <w:r w:rsidR="00283525" w:rsidRPr="00135519">
              <w:rPr>
                <w:rFonts w:ascii="Calibri" w:hAnsi="Calibri"/>
                <w:color w:val="0070C0"/>
                <w:sz w:val="22"/>
                <w:szCs w:val="22"/>
              </w:rPr>
              <w:t>$1,500</w:t>
            </w:r>
            <w:r w:rsidRPr="00135519">
              <w:rPr>
                <w:rFonts w:ascii="Calibri" w:hAnsi="Calibri"/>
                <w:color w:val="0070C0"/>
                <w:sz w:val="22"/>
                <w:szCs w:val="22"/>
              </w:rPr>
              <w:t>)</w:t>
            </w:r>
          </w:p>
        </w:tc>
      </w:tr>
      <w:tr w:rsidR="004C370C" w:rsidRPr="00135519" w:rsidTr="004C370C">
        <w:trPr>
          <w:trHeight w:val="357"/>
        </w:trPr>
        <w:tc>
          <w:tcPr>
            <w:tcW w:w="3303" w:type="dxa"/>
            <w:tcBorders>
              <w:top w:val="nil"/>
              <w:left w:val="nil"/>
              <w:bottom w:val="nil"/>
              <w:right w:val="nil"/>
            </w:tcBorders>
            <w:shd w:val="clear" w:color="auto" w:fill="auto"/>
            <w:noWrap/>
            <w:vAlign w:val="bottom"/>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tcPr>
          <w:p w:rsidR="00283525" w:rsidRPr="00135519" w:rsidRDefault="00283525" w:rsidP="00632892">
            <w:pPr>
              <w:spacing w:before="0" w:line="240" w:lineRule="auto"/>
              <w:jc w:val="right"/>
              <w:rPr>
                <w:rFonts w:ascii="Calibri" w:hAnsi="Calibri"/>
                <w:color w:val="0070C0"/>
                <w:sz w:val="22"/>
                <w:szCs w:val="22"/>
              </w:rPr>
            </w:pPr>
          </w:p>
        </w:tc>
        <w:tc>
          <w:tcPr>
            <w:tcW w:w="2533" w:type="dxa"/>
            <w:tcBorders>
              <w:top w:val="nil"/>
              <w:left w:val="nil"/>
              <w:bottom w:val="nil"/>
              <w:right w:val="nil"/>
            </w:tcBorders>
            <w:shd w:val="clear" w:color="auto" w:fill="auto"/>
            <w:noWrap/>
            <w:vAlign w:val="bottom"/>
          </w:tcPr>
          <w:p w:rsidR="00283525" w:rsidRPr="00135519" w:rsidRDefault="00283525" w:rsidP="00632892">
            <w:pPr>
              <w:spacing w:before="0" w:line="240" w:lineRule="auto"/>
              <w:jc w:val="right"/>
              <w:rPr>
                <w:rFonts w:ascii="Calibri" w:hAnsi="Calibri"/>
                <w:color w:val="0070C0"/>
                <w:sz w:val="22"/>
                <w:szCs w:val="22"/>
              </w:rPr>
            </w:pPr>
          </w:p>
        </w:tc>
      </w:tr>
      <w:tr w:rsidR="003715CA"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r w:rsidRPr="00135519">
              <w:rPr>
                <w:rFonts w:ascii="Calibri" w:hAnsi="Calibri"/>
                <w:color w:val="0070C0"/>
                <w:sz w:val="22"/>
                <w:szCs w:val="22"/>
              </w:rPr>
              <w:t>FBT Payable</w:t>
            </w: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jc w:val="right"/>
              <w:rPr>
                <w:rFonts w:ascii="Calibri" w:hAnsi="Calibri"/>
                <w:color w:val="0070C0"/>
                <w:sz w:val="22"/>
                <w:szCs w:val="22"/>
              </w:rPr>
            </w:pPr>
            <w:r w:rsidRPr="00135519">
              <w:rPr>
                <w:rFonts w:ascii="Calibri" w:hAnsi="Calibri"/>
                <w:color w:val="0070C0"/>
                <w:sz w:val="22"/>
                <w:szCs w:val="22"/>
              </w:rPr>
              <w:t>$0</w:t>
            </w: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jc w:val="right"/>
              <w:rPr>
                <w:rFonts w:ascii="Calibri" w:hAnsi="Calibri"/>
                <w:color w:val="0070C0"/>
                <w:sz w:val="22"/>
                <w:szCs w:val="22"/>
              </w:rPr>
            </w:pPr>
            <w:r w:rsidRPr="00135519">
              <w:rPr>
                <w:rFonts w:ascii="Calibri" w:hAnsi="Calibri"/>
                <w:color w:val="0070C0"/>
                <w:sz w:val="22"/>
                <w:szCs w:val="22"/>
              </w:rPr>
              <w:t>$0</w:t>
            </w:r>
          </w:p>
        </w:tc>
      </w:tr>
      <w:tr w:rsidR="004C370C" w:rsidRPr="00135519" w:rsidTr="004C370C">
        <w:trPr>
          <w:trHeight w:val="357"/>
        </w:trPr>
        <w:tc>
          <w:tcPr>
            <w:tcW w:w="330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60"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r>
      <w:tr w:rsidR="004C370C" w:rsidRPr="00135519" w:rsidTr="004C370C">
        <w:trPr>
          <w:trHeight w:val="357"/>
        </w:trPr>
        <w:tc>
          <w:tcPr>
            <w:tcW w:w="3563" w:type="dxa"/>
            <w:gridSpan w:val="2"/>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b/>
                <w:bCs/>
                <w:color w:val="0070C0"/>
                <w:sz w:val="22"/>
                <w:szCs w:val="22"/>
              </w:rPr>
            </w:pPr>
            <w:r w:rsidRPr="00135519">
              <w:rPr>
                <w:rFonts w:ascii="Calibri" w:hAnsi="Calibri"/>
                <w:b/>
                <w:bCs/>
                <w:color w:val="0070C0"/>
                <w:sz w:val="22"/>
                <w:szCs w:val="22"/>
              </w:rPr>
              <w:t>Net Benefit with Salary Packaging</w:t>
            </w:r>
          </w:p>
        </w:tc>
        <w:tc>
          <w:tcPr>
            <w:tcW w:w="2551"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rPr>
                <w:rFonts w:ascii="Calibri" w:hAnsi="Calibri"/>
                <w:color w:val="0070C0"/>
                <w:sz w:val="22"/>
                <w:szCs w:val="22"/>
              </w:rPr>
            </w:pPr>
          </w:p>
        </w:tc>
        <w:tc>
          <w:tcPr>
            <w:tcW w:w="2533" w:type="dxa"/>
            <w:tcBorders>
              <w:top w:val="nil"/>
              <w:left w:val="nil"/>
              <w:bottom w:val="nil"/>
              <w:right w:val="nil"/>
            </w:tcBorders>
            <w:shd w:val="clear" w:color="auto" w:fill="auto"/>
            <w:noWrap/>
            <w:vAlign w:val="bottom"/>
            <w:hideMark/>
          </w:tcPr>
          <w:p w:rsidR="00283525" w:rsidRPr="00135519" w:rsidRDefault="00283525" w:rsidP="00632892">
            <w:pPr>
              <w:spacing w:before="0" w:line="240" w:lineRule="auto"/>
              <w:jc w:val="right"/>
              <w:rPr>
                <w:rFonts w:ascii="Calibri" w:hAnsi="Calibri"/>
                <w:b/>
                <w:bCs/>
                <w:color w:val="0070C0"/>
                <w:sz w:val="22"/>
                <w:szCs w:val="22"/>
              </w:rPr>
            </w:pPr>
            <w:r w:rsidRPr="00135519">
              <w:rPr>
                <w:rFonts w:ascii="Calibri" w:hAnsi="Calibri"/>
                <w:b/>
                <w:bCs/>
                <w:color w:val="0070C0"/>
                <w:sz w:val="22"/>
                <w:szCs w:val="22"/>
              </w:rPr>
              <w:t>$8,280</w:t>
            </w:r>
          </w:p>
          <w:p w:rsidR="00E75CF7" w:rsidRPr="00135519" w:rsidRDefault="00E75CF7" w:rsidP="00632892">
            <w:pPr>
              <w:spacing w:before="0" w:line="240" w:lineRule="auto"/>
              <w:jc w:val="right"/>
              <w:rPr>
                <w:rFonts w:ascii="Calibri" w:hAnsi="Calibri"/>
                <w:b/>
                <w:bCs/>
                <w:color w:val="0070C0"/>
                <w:sz w:val="22"/>
                <w:szCs w:val="22"/>
              </w:rPr>
            </w:pPr>
            <w:r w:rsidRPr="00135519">
              <w:rPr>
                <w:rFonts w:ascii="Calibri" w:hAnsi="Calibri"/>
                <w:b/>
                <w:bCs/>
                <w:color w:val="0070C0"/>
                <w:sz w:val="22"/>
                <w:szCs w:val="22"/>
              </w:rPr>
              <w:t>($159.23 per week)</w:t>
            </w:r>
            <w:r w:rsidR="00C93C0C" w:rsidRPr="00135519">
              <w:rPr>
                <w:rStyle w:val="FootnoteReference"/>
                <w:rFonts w:ascii="Calibri" w:hAnsi="Calibri"/>
                <w:b/>
                <w:bCs/>
                <w:color w:val="0070C0"/>
                <w:sz w:val="22"/>
                <w:szCs w:val="22"/>
              </w:rPr>
              <w:footnoteReference w:id="35"/>
            </w:r>
          </w:p>
        </w:tc>
      </w:tr>
    </w:tbl>
    <w:p w:rsidR="003F0B5C" w:rsidRDefault="003F0B5C" w:rsidP="00632892">
      <w:pPr>
        <w:pStyle w:val="NormalIndent"/>
        <w:spacing w:line="240" w:lineRule="auto"/>
      </w:pPr>
    </w:p>
    <w:p w:rsidR="00612797" w:rsidRPr="00504D59" w:rsidRDefault="003F0B5C" w:rsidP="009319D9">
      <w:pPr>
        <w:pStyle w:val="Schedule"/>
        <w:jc w:val="center"/>
      </w:pPr>
      <w:bookmarkStart w:id="46" w:name="_GoBack"/>
      <w:bookmarkStart w:id="47" w:name="_Ref411756523"/>
      <w:bookmarkStart w:id="48" w:name="_Toc437947584"/>
      <w:bookmarkEnd w:id="46"/>
      <w:r>
        <w:t xml:space="preserve">- </w:t>
      </w:r>
      <w:r w:rsidR="00504D59" w:rsidRPr="00504D59">
        <w:t xml:space="preserve">Summary </w:t>
      </w:r>
      <w:r w:rsidR="00504D59">
        <w:t>of Fringe Benefits Categories</w:t>
      </w:r>
      <w:bookmarkEnd w:id="47"/>
      <w:r w:rsidR="009319D9">
        <w:rPr>
          <w:rStyle w:val="FootnoteReference"/>
        </w:rPr>
        <w:footnoteReference w:id="36"/>
      </w:r>
      <w:bookmarkEnd w:id="48"/>
    </w:p>
    <w:p w:rsidR="004D4150" w:rsidRPr="008E448F" w:rsidRDefault="004D4150" w:rsidP="003F0B5C">
      <w:pPr>
        <w:pStyle w:val="Schedule1"/>
      </w:pPr>
      <w:r w:rsidRPr="008E448F">
        <w:t>Car Benefits</w:t>
      </w:r>
    </w:p>
    <w:p w:rsidR="006044A3" w:rsidRDefault="00FF6C4F" w:rsidP="003F0B5C">
      <w:pPr>
        <w:ind w:left="709"/>
      </w:pPr>
      <w:r>
        <w:t xml:space="preserve">A </w:t>
      </w:r>
      <w:r w:rsidR="005E5188">
        <w:t>'</w:t>
      </w:r>
      <w:r>
        <w:t>car benefit</w:t>
      </w:r>
      <w:r w:rsidR="005E5188">
        <w:t>'</w:t>
      </w:r>
      <w:r>
        <w:t xml:space="preserve"> arises on each day that an employer provides a car </w:t>
      </w:r>
      <w:r w:rsidR="005E5188">
        <w:t xml:space="preserve">to </w:t>
      </w:r>
      <w:r w:rsidR="00FB5F79">
        <w:t>an</w:t>
      </w:r>
      <w:r w:rsidR="005E5188">
        <w:t xml:space="preserve"> employee</w:t>
      </w:r>
      <w:r w:rsidR="00FB5F79">
        <w:t>,</w:t>
      </w:r>
      <w:r w:rsidR="005E5188">
        <w:t xml:space="preserve"> </w:t>
      </w:r>
      <w:r w:rsidR="00FB5F79" w:rsidRPr="00FB5F79">
        <w:t>in respect of the employment of th</w:t>
      </w:r>
      <w:r w:rsidR="00FB5F79">
        <w:t>at</w:t>
      </w:r>
      <w:r w:rsidR="00FB5F79" w:rsidRPr="00FB5F79">
        <w:t xml:space="preserve"> employee</w:t>
      </w:r>
      <w:r w:rsidR="00FB5F79">
        <w:t xml:space="preserve">, </w:t>
      </w:r>
      <w:r w:rsidR="005E5188">
        <w:t>and the car</w:t>
      </w:r>
      <w:r>
        <w:t xml:space="preserve"> is either </w:t>
      </w:r>
      <w:r w:rsidR="005E5188">
        <w:t>taken to be made</w:t>
      </w:r>
      <w:r>
        <w:t xml:space="preserve"> available for the employee</w:t>
      </w:r>
      <w:r w:rsidR="008E30AD">
        <w:t>'</w:t>
      </w:r>
      <w:r>
        <w:t>s private use or</w:t>
      </w:r>
      <w:r w:rsidR="005E5188">
        <w:t xml:space="preserve"> it</w:t>
      </w:r>
      <w:r>
        <w:t xml:space="preserve"> </w:t>
      </w:r>
      <w:r w:rsidR="008E30AD">
        <w:t xml:space="preserve">is </w:t>
      </w:r>
      <w:r w:rsidR="005E5188">
        <w:t xml:space="preserve">actually </w:t>
      </w:r>
      <w:r w:rsidR="006044A3">
        <w:t>used for</w:t>
      </w:r>
      <w:r>
        <w:t xml:space="preserve"> a private </w:t>
      </w:r>
      <w:r w:rsidR="006044A3">
        <w:t>purpose</w:t>
      </w:r>
      <w:r>
        <w:t>. A car is defined to mean any motor powered road vehicle (including a 4 wheel drive but not a motorcycle) that is designed</w:t>
      </w:r>
      <w:r w:rsidR="006044A3">
        <w:t xml:space="preserve"> to carry a lo</w:t>
      </w:r>
      <w:r w:rsidR="008A7251">
        <w:t xml:space="preserve">ad of less than 1 tonne </w:t>
      </w:r>
      <w:r w:rsidR="006044A3">
        <w:t>and fewer than 9 passengers</w:t>
      </w:r>
      <w:r>
        <w:t xml:space="preserve">. </w:t>
      </w:r>
    </w:p>
    <w:p w:rsidR="00D00E80" w:rsidRDefault="00FF6C4F" w:rsidP="003F0B5C">
      <w:pPr>
        <w:ind w:left="709"/>
      </w:pPr>
      <w:r>
        <w:t xml:space="preserve">A car will be </w:t>
      </w:r>
      <w:r w:rsidR="00FB5F79">
        <w:t xml:space="preserve">taken to be </w:t>
      </w:r>
      <w:r>
        <w:t>available for private use if it is garaged at the employee</w:t>
      </w:r>
      <w:r w:rsidR="00FB5F79">
        <w:t>'</w:t>
      </w:r>
      <w:r>
        <w:t>s residence or if the car is not at the employer's business premises and the employee has the use, custody or control of the car. A car will be applied to a private use if it is used in accordance with the employee</w:t>
      </w:r>
      <w:r w:rsidR="00FB5F79">
        <w:t>'</w:t>
      </w:r>
      <w:r>
        <w:t>s direc</w:t>
      </w:r>
      <w:r w:rsidR="00FB5F79">
        <w:t>tions, instructions or wishes. H</w:t>
      </w:r>
      <w:r>
        <w:t xml:space="preserve">owever, where the car is used by the employee exclusively in the course of producing assessable income of the employer, the car will not be used for a private use. </w:t>
      </w:r>
    </w:p>
    <w:p w:rsidR="00FF6C4F" w:rsidRDefault="00AC6810" w:rsidP="003F0B5C">
      <w:pPr>
        <w:ind w:left="709"/>
      </w:pPr>
      <w:r w:rsidRPr="00FB5F79">
        <w:t xml:space="preserve">The car </w:t>
      </w:r>
      <w:r>
        <w:t>must be</w:t>
      </w:r>
      <w:r w:rsidRPr="00FB5F79">
        <w:t xml:space="preserve"> </w:t>
      </w:r>
      <w:r>
        <w:t>'</w:t>
      </w:r>
      <w:r w:rsidRPr="00FB5F79">
        <w:t>held</w:t>
      </w:r>
      <w:r>
        <w:t>'</w:t>
      </w:r>
      <w:r w:rsidRPr="00FB5F79">
        <w:t xml:space="preserve"> by the employer</w:t>
      </w:r>
      <w:r>
        <w:t xml:space="preserve">. </w:t>
      </w:r>
      <w:r w:rsidR="00FB5F79">
        <w:t xml:space="preserve">This includes </w:t>
      </w:r>
      <w:r w:rsidR="00FC2BF2">
        <w:t>where the car</w:t>
      </w:r>
      <w:r w:rsidR="00FB5F79" w:rsidRPr="00FB5F79">
        <w:t xml:space="preserve"> is owned or leased by the</w:t>
      </w:r>
      <w:r w:rsidR="00FC2BF2">
        <w:t xml:space="preserve"> employer as well as where the car</w:t>
      </w:r>
      <w:r w:rsidR="00FB5F79" w:rsidRPr="00FB5F79">
        <w:t xml:space="preserve"> is otherwise made available to the</w:t>
      </w:r>
      <w:r w:rsidR="00FC2BF2">
        <w:t xml:space="preserve"> employee </w:t>
      </w:r>
      <w:r w:rsidR="00FB5F79" w:rsidRPr="00FB5F79">
        <w:t>by another person</w:t>
      </w:r>
      <w:r w:rsidR="00FC2BF2">
        <w:t xml:space="preserve"> with whom the employer has an arrangement</w:t>
      </w:r>
      <w:r w:rsidR="00FB5F79" w:rsidRPr="00FB5F79">
        <w:t xml:space="preserve">. </w:t>
      </w:r>
      <w:r w:rsidR="00FF6C4F">
        <w:t>This includes where the employer takes over the rights and obligations pursuant to a leasing arrangement involving the employee and the lessor</w:t>
      </w:r>
      <w:r w:rsidR="00FC2BF2">
        <w:t xml:space="preserve"> of the car</w:t>
      </w:r>
      <w:r w:rsidR="00FF6C4F">
        <w:t>.</w:t>
      </w:r>
    </w:p>
    <w:p w:rsidR="002575FB" w:rsidRDefault="00FC2BF2" w:rsidP="003F0B5C">
      <w:pPr>
        <w:ind w:left="709"/>
      </w:pPr>
      <w:r w:rsidRPr="00FC2BF2">
        <w:t xml:space="preserve">The employer can choose one of 2 methods to value the car benefit – the statutory formula method or the operating cost </w:t>
      </w:r>
      <w:r>
        <w:t xml:space="preserve">method. </w:t>
      </w:r>
      <w:r w:rsidR="002575FB" w:rsidRPr="002575FB">
        <w:t>Generally</w:t>
      </w:r>
      <w:r w:rsidR="002575FB">
        <w:t>,</w:t>
      </w:r>
      <w:r w:rsidR="002575FB" w:rsidRPr="002575FB">
        <w:t xml:space="preserve"> the </w:t>
      </w:r>
      <w:r w:rsidR="002575FB">
        <w:t xml:space="preserve">operating cost </w:t>
      </w:r>
      <w:r w:rsidR="002575FB" w:rsidRPr="002575FB">
        <w:t xml:space="preserve">method results in a lower taxable value than the statutory formula method where the business use of the car is high. </w:t>
      </w:r>
    </w:p>
    <w:p w:rsidR="00FF6C4F" w:rsidRDefault="00FC2BF2" w:rsidP="003F0B5C">
      <w:pPr>
        <w:ind w:left="709"/>
      </w:pPr>
      <w:r>
        <w:t>W</w:t>
      </w:r>
      <w:r w:rsidR="00FF6C4F">
        <w:t>here the operating cost method is used</w:t>
      </w:r>
      <w:r>
        <w:t>,</w:t>
      </w:r>
      <w:r w:rsidR="00FF6C4F">
        <w:t xml:space="preserve"> the taxable value of the car fringe benefit is calculated</w:t>
      </w:r>
      <w:r>
        <w:t>, broadly speaking,</w:t>
      </w:r>
      <w:r w:rsidR="00FF6C4F">
        <w:t xml:space="preserve"> as the amount equal to the operating costs of the car multiplied by the percentage of non-business use of the car less any contribution that the employee makes for the provision of </w:t>
      </w:r>
      <w:r>
        <w:t>the</w:t>
      </w:r>
      <w:r w:rsidR="00FF6C4F">
        <w:t xml:space="preserve"> car benefit or any car expenses incurred by the employee. The operating </w:t>
      </w:r>
      <w:r w:rsidR="00FE08CC">
        <w:t>costs of a car include expenses incurred in registering or insuring the car, repairing or maintaining the car</w:t>
      </w:r>
      <w:r>
        <w:t>,</w:t>
      </w:r>
      <w:r w:rsidR="00FE08CC">
        <w:t xml:space="preserve"> fuel for the car, an amount of deemed depreciation </w:t>
      </w:r>
      <w:r w:rsidR="007A0910">
        <w:t xml:space="preserve">(calculated at the rate of 18.75% diminishing value) </w:t>
      </w:r>
      <w:r w:rsidR="00FE08CC">
        <w:t>and an imputed interest cost calculated by applying a statutory interest rate to the value of the car.</w:t>
      </w:r>
    </w:p>
    <w:p w:rsidR="00FE08CC" w:rsidRDefault="002575FB" w:rsidP="003F0B5C">
      <w:pPr>
        <w:ind w:left="709"/>
      </w:pPr>
      <w:r w:rsidRPr="002575FB">
        <w:t xml:space="preserve">For cars acquired after 7.30pm AEST on 10 May 2011, the </w:t>
      </w:r>
      <w:r w:rsidR="001225F7">
        <w:t xml:space="preserve">statutory formula </w:t>
      </w:r>
      <w:r w:rsidR="00FC2BF2">
        <w:t xml:space="preserve">method </w:t>
      </w:r>
      <w:r w:rsidR="001225F7">
        <w:t>results in the taxable value of the car benefit being calculated</w:t>
      </w:r>
      <w:r w:rsidR="00FC2BF2">
        <w:t>, broadly speaking,</w:t>
      </w:r>
      <w:r w:rsidR="001225F7">
        <w:t xml:space="preserve"> as 20% of the base value</w:t>
      </w:r>
      <w:r w:rsidR="00FE3F15">
        <w:t xml:space="preserve"> </w:t>
      </w:r>
      <w:r w:rsidR="001225F7">
        <w:t xml:space="preserve">of the car </w:t>
      </w:r>
      <w:r w:rsidR="007A0910">
        <w:t xml:space="preserve">multiplied by the proportion of the days in year in which the fringe benefit was provided </w:t>
      </w:r>
      <w:r w:rsidR="00532437" w:rsidRPr="00532437">
        <w:t>(regardle</w:t>
      </w:r>
      <w:r w:rsidR="00532437">
        <w:t xml:space="preserve">ss of the kilometres travelled). This amount is reduced by any </w:t>
      </w:r>
      <w:r w:rsidR="007A0910">
        <w:t xml:space="preserve">payments </w:t>
      </w:r>
      <w:r w:rsidR="00532437">
        <w:t>that</w:t>
      </w:r>
      <w:r w:rsidR="007A0910">
        <w:t xml:space="preserve"> the employee</w:t>
      </w:r>
      <w:r w:rsidR="00532437">
        <w:t xml:space="preserve"> makes </w:t>
      </w:r>
      <w:r w:rsidR="007A0910">
        <w:t xml:space="preserve">for the provision of the car benefit and car expenses incurred by the employee or an associate in respect of the car fringe benefit </w:t>
      </w:r>
      <w:r w:rsidR="00532437">
        <w:t>(</w:t>
      </w:r>
      <w:r w:rsidR="007A0910">
        <w:t>less any amount reimbursed to the employee</w:t>
      </w:r>
      <w:r w:rsidR="00532437">
        <w:t>)</w:t>
      </w:r>
      <w:r w:rsidR="007A0910">
        <w:t>.</w:t>
      </w:r>
    </w:p>
    <w:p w:rsidR="00FC2BF2" w:rsidRDefault="00FC2BF2" w:rsidP="003F0B5C">
      <w:pPr>
        <w:ind w:left="709"/>
      </w:pPr>
      <w:r w:rsidRPr="00FC2BF2">
        <w:t xml:space="preserve">If the employer wishes to use the </w:t>
      </w:r>
      <w:r w:rsidR="002575FB">
        <w:t xml:space="preserve">operating </w:t>
      </w:r>
      <w:r w:rsidRPr="00FC2BF2">
        <w:t xml:space="preserve">cost method it must lodge a written election with the Commissioner before it lodges its FBT return otherwise </w:t>
      </w:r>
      <w:r w:rsidR="002575FB">
        <w:t>the</w:t>
      </w:r>
      <w:r w:rsidRPr="00FC2BF2">
        <w:t xml:space="preserve"> statutory formula method will apply. The election can apply for a particular car for a particular year but can change on a yearly basis. However, if the election is made and the taxable value of the car under the operating cost </w:t>
      </w:r>
      <w:r w:rsidR="002575FB">
        <w:t>method</w:t>
      </w:r>
      <w:r w:rsidRPr="00FC2BF2">
        <w:t xml:space="preserve"> </w:t>
      </w:r>
      <w:r w:rsidRPr="00FC2BF2">
        <w:lastRenderedPageBreak/>
        <w:t>is higher than it would have been under the statutory formula</w:t>
      </w:r>
      <w:r w:rsidR="002575FB">
        <w:t xml:space="preserve"> method</w:t>
      </w:r>
      <w:r w:rsidRPr="00FC2BF2">
        <w:t xml:space="preserve">, the election is deemed not to have been made and the lower taxable value under the statutory formula </w:t>
      </w:r>
      <w:r w:rsidR="002575FB">
        <w:t xml:space="preserve">method </w:t>
      </w:r>
      <w:r w:rsidRPr="00FC2BF2">
        <w:t>applies.</w:t>
      </w:r>
    </w:p>
    <w:p w:rsidR="008E448F" w:rsidRDefault="002575FB" w:rsidP="003F0B5C">
      <w:pPr>
        <w:ind w:left="709"/>
      </w:pPr>
      <w:r w:rsidRPr="002575FB">
        <w:t xml:space="preserve">There are a number of exemptions available in respect of </w:t>
      </w:r>
      <w:r w:rsidR="00431A29">
        <w:t>commercial vehicles</w:t>
      </w:r>
      <w:r w:rsidRPr="002575FB">
        <w:t xml:space="preserve"> that are used for work-related purposes, unregistered cars and cars held by personal services entities. </w:t>
      </w:r>
      <w:r w:rsidR="00BF1E95">
        <w:t>Nor is</w:t>
      </w:r>
      <w:r w:rsidRPr="002575FB">
        <w:t xml:space="preserve"> FBT is payable where the employer </w:t>
      </w:r>
      <w:r w:rsidR="00BF1E95">
        <w:t xml:space="preserve">provides a car benefit and </w:t>
      </w:r>
      <w:r w:rsidRPr="002575FB">
        <w:t xml:space="preserve">pays for the following </w:t>
      </w:r>
      <w:r w:rsidR="00BF1E95">
        <w:t>'</w:t>
      </w:r>
      <w:r w:rsidRPr="002575FB">
        <w:t>car expenses</w:t>
      </w:r>
      <w:r w:rsidR="00BF1E95">
        <w:t>'</w:t>
      </w:r>
      <w:r w:rsidRPr="002575FB">
        <w:t xml:space="preserve"> – registration or insurance of a car, repairs, maintenance or fuel</w:t>
      </w:r>
      <w:r w:rsidR="00BF1E95">
        <w:t xml:space="preserve"> (ie, these are exempt benefits)</w:t>
      </w:r>
      <w:r w:rsidRPr="002575FB">
        <w:t>.</w:t>
      </w:r>
    </w:p>
    <w:p w:rsidR="002575FB" w:rsidRDefault="002575FB" w:rsidP="00D00E80"/>
    <w:p w:rsidR="007A0910" w:rsidRPr="008E448F" w:rsidRDefault="00FE3F15" w:rsidP="003F0B5C">
      <w:pPr>
        <w:pStyle w:val="Schedule1"/>
      </w:pPr>
      <w:r w:rsidRPr="008E448F">
        <w:t>Car parking benefits</w:t>
      </w:r>
    </w:p>
    <w:p w:rsidR="00FE3F15" w:rsidRDefault="00500E4F" w:rsidP="003F0B5C">
      <w:pPr>
        <w:ind w:left="709"/>
      </w:pPr>
      <w:r>
        <w:t>The following requirements must be satisfied in order for there to be a car parking benefit:</w:t>
      </w:r>
    </w:p>
    <w:p w:rsidR="00500E4F" w:rsidRDefault="00E6328E" w:rsidP="003F0B5C">
      <w:pPr>
        <w:pStyle w:val="Bullet2"/>
      </w:pPr>
      <w:r>
        <w:t>t</w:t>
      </w:r>
      <w:r w:rsidR="00500E4F">
        <w:t xml:space="preserve">he car must be parked at premises used in whole or in part for the purposes of the business operations of the employer or </w:t>
      </w:r>
      <w:r w:rsidR="00734047">
        <w:t>that are otherwise owned, leased or under the control of the employer;</w:t>
      </w:r>
    </w:p>
    <w:p w:rsidR="00734047" w:rsidRDefault="00E6328E" w:rsidP="003F0B5C">
      <w:pPr>
        <w:pStyle w:val="Bullet2"/>
      </w:pPr>
      <w:r>
        <w:t>t</w:t>
      </w:r>
      <w:r w:rsidR="00734047">
        <w:t>here must be a commercial parking station located within a 1 kilometre radius of the employer provided parking facility;</w:t>
      </w:r>
    </w:p>
    <w:p w:rsidR="00734047" w:rsidRDefault="00E6328E" w:rsidP="003F0B5C">
      <w:pPr>
        <w:pStyle w:val="Bullet2"/>
      </w:pPr>
      <w:r>
        <w:t>t</w:t>
      </w:r>
      <w:r w:rsidR="00734047">
        <w:t xml:space="preserve">he lowest fee charged by the commercial parking station operator in the ordinary course of business to members of the public for all day parking on the first </w:t>
      </w:r>
      <w:r w:rsidR="00AD5946">
        <w:t>day of the FBT year must be more</w:t>
      </w:r>
      <w:r w:rsidR="00734047">
        <w:t xml:space="preserve"> than the ca</w:t>
      </w:r>
      <w:r>
        <w:t>r parking threshold amount ($8.26</w:t>
      </w:r>
      <w:r w:rsidR="00734047">
        <w:t xml:space="preserve"> for the</w:t>
      </w:r>
      <w:r>
        <w:t xml:space="preserve"> FBT</w:t>
      </w:r>
      <w:r w:rsidR="00734047">
        <w:t xml:space="preserve"> year end</w:t>
      </w:r>
      <w:r>
        <w:t>ing 31 March 2015</w:t>
      </w:r>
      <w:r w:rsidR="00734047">
        <w:t>);</w:t>
      </w:r>
    </w:p>
    <w:p w:rsidR="00734047" w:rsidRDefault="00E6328E" w:rsidP="003F0B5C">
      <w:pPr>
        <w:pStyle w:val="Bullet2"/>
      </w:pPr>
      <w:r>
        <w:t>t</w:t>
      </w:r>
      <w:r w:rsidR="00734047">
        <w:t xml:space="preserve">he car must be parked at or in the vicinity of the employer's business premises where the employee most recently performed employment duties and those premises were the sole or primary place of employment of the employee or </w:t>
      </w:r>
      <w:r>
        <w:t xml:space="preserve">were </w:t>
      </w:r>
      <w:r w:rsidR="00734047">
        <w:t>where the employee performed their employment duties;</w:t>
      </w:r>
    </w:p>
    <w:p w:rsidR="00734047" w:rsidRDefault="00E6328E" w:rsidP="003F0B5C">
      <w:pPr>
        <w:pStyle w:val="Bullet2"/>
      </w:pPr>
      <w:r>
        <w:t>t</w:t>
      </w:r>
      <w:r w:rsidR="00734047">
        <w:t>he car must be parked at the employer's parking facilities for more than 4 hours between 7am and 7pm;</w:t>
      </w:r>
    </w:p>
    <w:p w:rsidR="00734047" w:rsidRDefault="00E6328E" w:rsidP="003F0B5C">
      <w:pPr>
        <w:pStyle w:val="Bullet2"/>
      </w:pPr>
      <w:r>
        <w:t>t</w:t>
      </w:r>
      <w:r w:rsidR="00734047">
        <w:t>he car must be owned or leased by the employee or be a car benefit provided by the employer;</w:t>
      </w:r>
    </w:p>
    <w:p w:rsidR="00734047" w:rsidRDefault="00E6328E" w:rsidP="003F0B5C">
      <w:pPr>
        <w:pStyle w:val="Bullet2"/>
      </w:pPr>
      <w:r>
        <w:t>t</w:t>
      </w:r>
      <w:r w:rsidR="00734047">
        <w:t>he car must be used in connection with the employee travelling between their primary place of employment and place of residence;</w:t>
      </w:r>
    </w:p>
    <w:p w:rsidR="00734047" w:rsidRDefault="00E6328E" w:rsidP="003F0B5C">
      <w:pPr>
        <w:pStyle w:val="Bullet2"/>
      </w:pPr>
      <w:r>
        <w:t>t</w:t>
      </w:r>
      <w:r w:rsidR="00734047">
        <w:t>he parking facilities must be provided in respect of the employee</w:t>
      </w:r>
      <w:r>
        <w:t>'</w:t>
      </w:r>
      <w:r w:rsidR="00734047">
        <w:t>s employment;</w:t>
      </w:r>
      <w:r>
        <w:t xml:space="preserve"> and</w:t>
      </w:r>
    </w:p>
    <w:p w:rsidR="00734047" w:rsidRDefault="00E6328E" w:rsidP="003F0B5C">
      <w:pPr>
        <w:pStyle w:val="Bullet2"/>
      </w:pPr>
      <w:r>
        <w:t>t</w:t>
      </w:r>
      <w:r w:rsidR="00734047">
        <w:t>he parking facilities are not exempted</w:t>
      </w:r>
      <w:r>
        <w:t xml:space="preserve"> from FBT</w:t>
      </w:r>
      <w:r w:rsidR="00C63C03">
        <w:t xml:space="preserve"> – for instance, </w:t>
      </w:r>
      <w:r w:rsidR="00734047">
        <w:t xml:space="preserve">car parking provided by certain non-profit employers </w:t>
      </w:r>
      <w:r w:rsidR="004D4150">
        <w:t xml:space="preserve">such as </w:t>
      </w:r>
      <w:r w:rsidR="00734047">
        <w:t>registered charities</w:t>
      </w:r>
      <w:r w:rsidR="00C63C03">
        <w:t xml:space="preserve"> will be an exempt benefit (this should ensure that a car parking benefit provided by a Community Legal Centre is exempt from FBT)</w:t>
      </w:r>
      <w:r w:rsidR="00734047">
        <w:t>.</w:t>
      </w:r>
    </w:p>
    <w:p w:rsidR="00AD5946" w:rsidRDefault="00C63C03" w:rsidP="003F0B5C">
      <w:pPr>
        <w:ind w:left="709"/>
      </w:pPr>
      <w:r>
        <w:t>In other words,</w:t>
      </w:r>
      <w:r w:rsidR="00734047">
        <w:t xml:space="preserve"> a car parking benefit will be exempt if the parking facility is more than 1 kilometre away from a co</w:t>
      </w:r>
      <w:r w:rsidR="00A33058">
        <w:t xml:space="preserve">mmercial parking station or, if it is closer, the lowest fee charged is less than the car parking threshold amount or the car is parked for less than 4 hours on a particular day (ie, parking provided in country areas is likely to be exempt from FBT). </w:t>
      </w:r>
    </w:p>
    <w:p w:rsidR="00734047" w:rsidRDefault="00A33058" w:rsidP="003F0B5C">
      <w:pPr>
        <w:ind w:left="709"/>
      </w:pPr>
      <w:r>
        <w:t xml:space="preserve">There are 5 methods </w:t>
      </w:r>
      <w:r w:rsidR="00AD5946">
        <w:t>for</w:t>
      </w:r>
      <w:r>
        <w:t xml:space="preserve"> calculating the taxable value of a car parking benefit – </w:t>
      </w:r>
      <w:r w:rsidR="004D4150">
        <w:t xml:space="preserve">the </w:t>
      </w:r>
      <w:r>
        <w:t>commercial parking station method, market value method, average cost method, statutory formula method and 12 week register method.</w:t>
      </w:r>
    </w:p>
    <w:p w:rsidR="00A33058" w:rsidRPr="008E448F" w:rsidRDefault="00A33058" w:rsidP="003F0B5C">
      <w:pPr>
        <w:pStyle w:val="Schedule1"/>
      </w:pPr>
      <w:r w:rsidRPr="008E448F">
        <w:t>Debt waiver benefit</w:t>
      </w:r>
      <w:r w:rsidR="004D4150" w:rsidRPr="008E448F">
        <w:t>s</w:t>
      </w:r>
    </w:p>
    <w:p w:rsidR="004D4150" w:rsidRDefault="00A33058" w:rsidP="003F0B5C">
      <w:pPr>
        <w:ind w:left="709"/>
      </w:pPr>
      <w:r>
        <w:t>Broadly speaking, a debt waiver benefit arises where a person (the provider)</w:t>
      </w:r>
      <w:r w:rsidR="00944A9D">
        <w:t>, generally an employer,</w:t>
      </w:r>
      <w:r>
        <w:t xml:space="preserve"> waives an </w:t>
      </w:r>
      <w:r w:rsidR="00C63C03">
        <w:t>'</w:t>
      </w:r>
      <w:r>
        <w:t>obligation</w:t>
      </w:r>
      <w:r w:rsidR="00C63C03">
        <w:t>'</w:t>
      </w:r>
      <w:r>
        <w:t xml:space="preserve"> of another person (the recipient)</w:t>
      </w:r>
      <w:r w:rsidR="00944A9D">
        <w:t>, generally an employee,</w:t>
      </w:r>
      <w:r>
        <w:t xml:space="preserve"> to pay </w:t>
      </w:r>
      <w:r>
        <w:lastRenderedPageBreak/>
        <w:t>or repay the provider an amount</w:t>
      </w:r>
      <w:r w:rsidR="00944A9D">
        <w:t xml:space="preserve"> (and the waiver is connected with </w:t>
      </w:r>
      <w:r>
        <w:t xml:space="preserve">the employment of </w:t>
      </w:r>
      <w:r w:rsidR="004D4150">
        <w:t xml:space="preserve">an </w:t>
      </w:r>
      <w:r>
        <w:t>employee</w:t>
      </w:r>
      <w:r w:rsidR="00944A9D">
        <w:t>)</w:t>
      </w:r>
      <w:r>
        <w:t xml:space="preserve">. An obligation is defined to mean an obligation to pay or repay an amount, whether or not enforceable by legal proceedings, and waiver is defined to include release. </w:t>
      </w:r>
    </w:p>
    <w:p w:rsidR="00A33058" w:rsidRDefault="00A33058" w:rsidP="003F0B5C">
      <w:pPr>
        <w:ind w:left="709"/>
      </w:pPr>
      <w:r>
        <w:t xml:space="preserve">The taxable value of the debt waiver benefit equals the amount of the payment or repayment that is waived or released. There are no specific record keeping requirements and </w:t>
      </w:r>
      <w:r w:rsidR="004D4150">
        <w:t xml:space="preserve">an </w:t>
      </w:r>
      <w:r>
        <w:t xml:space="preserve">employer </w:t>
      </w:r>
      <w:r w:rsidR="004D4150">
        <w:t xml:space="preserve">is </w:t>
      </w:r>
      <w:r>
        <w:t>therefore only required to comply with the normal record keeping rules</w:t>
      </w:r>
      <w:r w:rsidR="00944A9D">
        <w:t xml:space="preserve"> (ie, the</w:t>
      </w:r>
      <w:r>
        <w:t xml:space="preserve"> records </w:t>
      </w:r>
      <w:r w:rsidR="00944A9D">
        <w:t>must explain</w:t>
      </w:r>
      <w:r>
        <w:t xml:space="preserve"> all transactions and other acts engaged in by the employer for the purpose of determining the amount of FBT payable</w:t>
      </w:r>
      <w:r w:rsidR="00944A9D">
        <w:t>)</w:t>
      </w:r>
      <w:r>
        <w:t>.</w:t>
      </w:r>
    </w:p>
    <w:p w:rsidR="00A33058" w:rsidRPr="008E448F" w:rsidRDefault="00FD6FC1" w:rsidP="003F0B5C">
      <w:pPr>
        <w:pStyle w:val="Schedule1"/>
      </w:pPr>
      <w:r w:rsidRPr="008E448F">
        <w:t>Loan</w:t>
      </w:r>
      <w:r w:rsidR="0098398D" w:rsidRPr="008E448F">
        <w:t xml:space="preserve"> </w:t>
      </w:r>
      <w:r w:rsidRPr="008E448F">
        <w:t>benefit</w:t>
      </w:r>
      <w:r w:rsidR="004D4150" w:rsidRPr="008E448F">
        <w:t>s</w:t>
      </w:r>
    </w:p>
    <w:p w:rsidR="004D4150" w:rsidRDefault="00F12B46" w:rsidP="003F0B5C">
      <w:pPr>
        <w:ind w:left="709"/>
      </w:pPr>
      <w:r>
        <w:t>A loan benefit arises where a person (the provider)</w:t>
      </w:r>
      <w:r w:rsidR="000D5692">
        <w:t>, generally an employer,</w:t>
      </w:r>
      <w:r>
        <w:t xml:space="preserve"> makes a loan (including an advance of money or the provision of credit</w:t>
      </w:r>
      <w:r w:rsidR="004D4150">
        <w:t>,</w:t>
      </w:r>
      <w:r>
        <w:t xml:space="preserve"> a payment on </w:t>
      </w:r>
      <w:r w:rsidR="004D4150">
        <w:t xml:space="preserve">account </w:t>
      </w:r>
      <w:r>
        <w:t xml:space="preserve">of a person </w:t>
      </w:r>
      <w:r w:rsidR="004D4150">
        <w:t>or</w:t>
      </w:r>
      <w:r>
        <w:t xml:space="preserve"> a transaction that in substance </w:t>
      </w:r>
      <w:r w:rsidR="004D4150">
        <w:t>e</w:t>
      </w:r>
      <w:r>
        <w:t>ffects a loan of money) to another person (the recipient)</w:t>
      </w:r>
      <w:r w:rsidR="000D5692">
        <w:t>, generally an employee,</w:t>
      </w:r>
      <w:r>
        <w:t xml:space="preserve"> where the benefit is provided in respect of an employee's employment. </w:t>
      </w:r>
    </w:p>
    <w:p w:rsidR="00FD6FC1" w:rsidRDefault="00F12B46" w:rsidP="003F0B5C">
      <w:pPr>
        <w:ind w:left="709"/>
      </w:pPr>
      <w:r>
        <w:t xml:space="preserve">The </w:t>
      </w:r>
      <w:r w:rsidR="0098398D">
        <w:t xml:space="preserve">loan </w:t>
      </w:r>
      <w:r>
        <w:t xml:space="preserve">benefit commences at the </w:t>
      </w:r>
      <w:r w:rsidR="0098398D">
        <w:t>time the loan is made and continues to exist while the loan remains unpaid (ie, while the recipient is under an obligation to repay the whole or any part of the loan). Some loan benefits are exempt from FBT including short term employee expense advances and certain loans to facilitate the relocation of an employee.</w:t>
      </w:r>
    </w:p>
    <w:p w:rsidR="0098398D" w:rsidRDefault="0098398D" w:rsidP="003F0B5C">
      <w:pPr>
        <w:ind w:left="709"/>
      </w:pPr>
      <w:r>
        <w:t xml:space="preserve">The taxable value of a loan benefit is the difference between the amount of interest payable by </w:t>
      </w:r>
      <w:r w:rsidR="002B2605">
        <w:t xml:space="preserve">the employee on the loan benefit </w:t>
      </w:r>
      <w:r w:rsidR="004D4150">
        <w:t xml:space="preserve">and </w:t>
      </w:r>
      <w:r w:rsidR="00944A9D">
        <w:t>a</w:t>
      </w:r>
      <w:r w:rsidR="004D4150">
        <w:t xml:space="preserve"> </w:t>
      </w:r>
      <w:r w:rsidR="002B2605">
        <w:t>'notional amount of interest'. This notional interest is calculated based upon the daily balance of the loan using the statutory interest rate for the year in which the benefit is being valued (</w:t>
      </w:r>
      <w:r w:rsidR="000D5692">
        <w:t>5.95</w:t>
      </w:r>
      <w:r w:rsidR="002B2605">
        <w:t>% for the FBT year ending 31 March 201</w:t>
      </w:r>
      <w:r w:rsidR="000D5692">
        <w:t>5)</w:t>
      </w:r>
      <w:r w:rsidR="002B2605">
        <w:t>.</w:t>
      </w:r>
    </w:p>
    <w:p w:rsidR="004D4150" w:rsidRDefault="002B2605" w:rsidP="003F0B5C">
      <w:pPr>
        <w:ind w:left="709"/>
      </w:pPr>
      <w:r>
        <w:t xml:space="preserve">The taxable value of the loan benefit is reduced </w:t>
      </w:r>
      <w:r w:rsidR="004D4150">
        <w:t xml:space="preserve">if </w:t>
      </w:r>
      <w:r w:rsidR="000D5692">
        <w:t>the recipient</w:t>
      </w:r>
      <w:r>
        <w:t xml:space="preserve"> is an employee</w:t>
      </w:r>
      <w:r w:rsidR="006632DD">
        <w:t xml:space="preserve"> </w:t>
      </w:r>
      <w:r w:rsidR="000D5692">
        <w:t>and the employee</w:t>
      </w:r>
      <w:r w:rsidR="006632DD">
        <w:t xml:space="preserve"> would have been entitled to </w:t>
      </w:r>
      <w:r w:rsidR="004D4150">
        <w:t xml:space="preserve">a </w:t>
      </w:r>
      <w:r w:rsidR="006632DD">
        <w:t>once only deduction if the employee had incurred the notional amount of interest on the loan. This is an example of the otherwise deductible rule and means that</w:t>
      </w:r>
      <w:r w:rsidR="004D4150">
        <w:t>,</w:t>
      </w:r>
      <w:r w:rsidR="006632DD">
        <w:t xml:space="preserve"> where an employee uses borrowed money </w:t>
      </w:r>
      <w:r w:rsidR="000D5692">
        <w:t xml:space="preserve">solely </w:t>
      </w:r>
      <w:r w:rsidR="006632DD">
        <w:t>for i</w:t>
      </w:r>
      <w:r w:rsidR="000D5692">
        <w:t xml:space="preserve">ncome producing purposes, and so is </w:t>
      </w:r>
      <w:r w:rsidR="006632DD">
        <w:t>entitled to a deduction for the interest on th</w:t>
      </w:r>
      <w:r w:rsidR="000D5692">
        <w:t>at</w:t>
      </w:r>
      <w:r w:rsidR="006632DD">
        <w:t xml:space="preserve"> loan, the taxable value of the loan benefit will </w:t>
      </w:r>
      <w:r w:rsidR="000D5692">
        <w:t xml:space="preserve">generally </w:t>
      </w:r>
      <w:r w:rsidR="006632DD">
        <w:t xml:space="preserve">be nil. </w:t>
      </w:r>
    </w:p>
    <w:p w:rsidR="002B2605" w:rsidRDefault="00917137" w:rsidP="003F0B5C">
      <w:pPr>
        <w:ind w:left="709"/>
      </w:pPr>
      <w:r>
        <w:t>T</w:t>
      </w:r>
      <w:r w:rsidR="006632DD">
        <w:t>he employee must give the employer a declaration in the approved form in respect of th</w:t>
      </w:r>
      <w:r>
        <w:t>e</w:t>
      </w:r>
      <w:r w:rsidR="006632DD">
        <w:t xml:space="preserve"> loan benefit</w:t>
      </w:r>
      <w:r>
        <w:t xml:space="preserve"> that shows</w:t>
      </w:r>
      <w:r w:rsidR="006632DD">
        <w:t xml:space="preserve"> the use the employee made of the loan and the percentage of interest for which the employee would have been entitled to a deduction if interest had been paid</w:t>
      </w:r>
      <w:r w:rsidR="004D4150">
        <w:t xml:space="preserve">. </w:t>
      </w:r>
      <w:r>
        <w:t>W</w:t>
      </w:r>
      <w:r w:rsidR="006632DD">
        <w:t>here a car loan is involved</w:t>
      </w:r>
      <w:r w:rsidR="004D4150">
        <w:t>,</w:t>
      </w:r>
      <w:r w:rsidR="006632DD">
        <w:t xml:space="preserve"> the declaration must include additional information relating to odometer and log book records </w:t>
      </w:r>
      <w:r>
        <w:t>relating to</w:t>
      </w:r>
      <w:r w:rsidR="006632DD">
        <w:t xml:space="preserve"> the </w:t>
      </w:r>
      <w:r>
        <w:t>b</w:t>
      </w:r>
      <w:r w:rsidR="006632DD">
        <w:t>usiness use of the car.</w:t>
      </w:r>
    </w:p>
    <w:p w:rsidR="006632DD" w:rsidRPr="008E448F" w:rsidRDefault="006632DD" w:rsidP="003F0B5C">
      <w:pPr>
        <w:pStyle w:val="Schedule1"/>
      </w:pPr>
      <w:r w:rsidRPr="008E448F">
        <w:t>Expense payment benefit</w:t>
      </w:r>
      <w:r w:rsidR="004D4150" w:rsidRPr="008E448F">
        <w:t>s</w:t>
      </w:r>
    </w:p>
    <w:p w:rsidR="006632DD" w:rsidRDefault="006632DD" w:rsidP="003F0B5C">
      <w:pPr>
        <w:ind w:left="709"/>
      </w:pPr>
      <w:r>
        <w:t xml:space="preserve">An expense payment benefit arises where an employer reimburses </w:t>
      </w:r>
      <w:r w:rsidR="004D4150">
        <w:t xml:space="preserve">an </w:t>
      </w:r>
      <w:r>
        <w:t xml:space="preserve">employee in respect of expenditure that </w:t>
      </w:r>
      <w:r w:rsidR="004D4150">
        <w:t xml:space="preserve">the employee has </w:t>
      </w:r>
      <w:r>
        <w:t>incurred or makes a payment to a third person in discharge of an obligation that the employee has to pay an amount to that third party.</w:t>
      </w:r>
      <w:r w:rsidR="00781488">
        <w:t xml:space="preserve"> There will not be</w:t>
      </w:r>
      <w:r w:rsidR="00781488" w:rsidRPr="00781488">
        <w:t xml:space="preserve"> an expense payment benefit if the expenditure is incurred by an employee using a credit card issued by the employer because the employer, rather than the employee, will have incurred the relevant expenditure</w:t>
      </w:r>
      <w:r w:rsidR="00781488">
        <w:t xml:space="preserve">. </w:t>
      </w:r>
    </w:p>
    <w:p w:rsidR="006632DD" w:rsidRDefault="00214F26" w:rsidP="003F0B5C">
      <w:pPr>
        <w:ind w:left="709"/>
      </w:pPr>
      <w:r>
        <w:t xml:space="preserve">It is vital that the employee has an effective salary sacrifice arrangement in place </w:t>
      </w:r>
      <w:r w:rsidR="00781488">
        <w:t>as the FBT rules will not apply if an employee merely directs their employer to</w:t>
      </w:r>
      <w:r>
        <w:t xml:space="preserve"> pay part of the employee's salary </w:t>
      </w:r>
      <w:r w:rsidR="004D4150">
        <w:t xml:space="preserve">or </w:t>
      </w:r>
      <w:r>
        <w:t xml:space="preserve">wages to discharge expenses that </w:t>
      </w:r>
      <w:r w:rsidR="00781488">
        <w:t>the employee has incurred (ie, that amount will remain subject to the ordinary income tax rules)</w:t>
      </w:r>
      <w:r>
        <w:t>.</w:t>
      </w:r>
    </w:p>
    <w:p w:rsidR="00386703" w:rsidRDefault="00214F26" w:rsidP="003F0B5C">
      <w:pPr>
        <w:ind w:left="709"/>
      </w:pPr>
      <w:r>
        <w:t>The expense payment benefit arises at the time the provider make</w:t>
      </w:r>
      <w:r w:rsidR="003874EA">
        <w:t>s</w:t>
      </w:r>
      <w:r>
        <w:t xml:space="preserve"> the payment or reimbursement to discharge the obligation incurred by the employee</w:t>
      </w:r>
      <w:r w:rsidR="003874EA">
        <w:t xml:space="preserve"> (ie, the time when the </w:t>
      </w:r>
      <w:r w:rsidR="003874EA">
        <w:lastRenderedPageBreak/>
        <w:t>employee incurred the expense is not relevant)</w:t>
      </w:r>
      <w:r>
        <w:t xml:space="preserve">. The taxable value of that benefit is equal to the amount of the payment or reimbursement (reduced by any payment that the employee makes to the employer) except where it is an </w:t>
      </w:r>
      <w:r w:rsidR="00781488">
        <w:t>'</w:t>
      </w:r>
      <w:r>
        <w:t>in-house</w:t>
      </w:r>
      <w:r w:rsidR="00781488">
        <w:t>'</w:t>
      </w:r>
      <w:r>
        <w:t xml:space="preserve"> </w:t>
      </w:r>
      <w:r w:rsidR="009B1B17">
        <w:t>expense payment fringe benefit</w:t>
      </w:r>
      <w:r>
        <w:t xml:space="preserve">. </w:t>
      </w:r>
    </w:p>
    <w:p w:rsidR="00214F26" w:rsidRDefault="00386703" w:rsidP="003F0B5C">
      <w:pPr>
        <w:ind w:left="709"/>
      </w:pPr>
      <w:r>
        <w:t>The t</w:t>
      </w:r>
      <w:r w:rsidR="00214F26">
        <w:t xml:space="preserve">axable value of </w:t>
      </w:r>
      <w:r>
        <w:t xml:space="preserve">an </w:t>
      </w:r>
      <w:r w:rsidR="00214F26">
        <w:t xml:space="preserve">expense payment fringe benefit will be reduced if the otherwise deductible rule applies. </w:t>
      </w:r>
      <w:r w:rsidR="005D2A38">
        <w:t xml:space="preserve">This means that where an employee is entitled to a once only deduction in respect of the expenditure </w:t>
      </w:r>
      <w:r w:rsidR="005D2A38" w:rsidRPr="00434704">
        <w:t>(ie, it does not include depreciation nor a deduction to which an associate of the employee is entitled)</w:t>
      </w:r>
      <w:r w:rsidR="005D2A38">
        <w:t xml:space="preserve">, the taxable value of the fringe benefit will reduce accordingly. </w:t>
      </w:r>
      <w:r w:rsidR="00096C0C">
        <w:t>E</w:t>
      </w:r>
      <w:r w:rsidR="00681D47">
        <w:t>xpen</w:t>
      </w:r>
      <w:r w:rsidR="00096C0C">
        <w:t>diture of a private nature</w:t>
      </w:r>
      <w:r w:rsidR="00681D47">
        <w:t>, such as in relation to school fees, health insurance</w:t>
      </w:r>
      <w:r>
        <w:t xml:space="preserve"> or</w:t>
      </w:r>
      <w:r w:rsidR="00681D47">
        <w:t xml:space="preserve"> grocery expenditure</w:t>
      </w:r>
      <w:r w:rsidR="009B1B17">
        <w:t>,</w:t>
      </w:r>
      <w:r w:rsidR="00096C0C">
        <w:t xml:space="preserve"> </w:t>
      </w:r>
      <w:r w:rsidR="009B1B17">
        <w:t>will</w:t>
      </w:r>
      <w:r w:rsidR="00096C0C">
        <w:t xml:space="preserve"> not qualify </w:t>
      </w:r>
      <w:r w:rsidR="00681D47">
        <w:t xml:space="preserve">because the employee would not be entitled to an income tax deduction for </w:t>
      </w:r>
      <w:r w:rsidR="001B5101">
        <w:t>such</w:t>
      </w:r>
      <w:r w:rsidR="00681D47">
        <w:t xml:space="preserve"> expenditure</w:t>
      </w:r>
      <w:r w:rsidR="00214F26">
        <w:t>.</w:t>
      </w:r>
      <w:r w:rsidR="0008153D">
        <w:t xml:space="preserve"> </w:t>
      </w:r>
      <w:r w:rsidR="0008153D" w:rsidRPr="0008153D">
        <w:t xml:space="preserve">In addition to </w:t>
      </w:r>
      <w:r w:rsidR="00434704">
        <w:t>a</w:t>
      </w:r>
      <w:r w:rsidR="0008153D" w:rsidRPr="0008153D">
        <w:t xml:space="preserve"> declaration substantiating the income producing nature of the employee's expenditure, the employee needs to provide the usual documentary evidence required to substantiate the amount of the employee's expenditure the subject of the benefit (usually a receipt or an invoice).</w:t>
      </w:r>
    </w:p>
    <w:p w:rsidR="00681D47" w:rsidRDefault="00386703" w:rsidP="003F0B5C">
      <w:pPr>
        <w:ind w:left="709"/>
      </w:pPr>
      <w:r>
        <w:t>G</w:t>
      </w:r>
      <w:r w:rsidR="00681D47">
        <w:t>enerally speaking</w:t>
      </w:r>
      <w:r w:rsidR="001B5101">
        <w:t>,</w:t>
      </w:r>
      <w:r w:rsidR="00681D47">
        <w:t xml:space="preserve"> </w:t>
      </w:r>
      <w:r w:rsidR="00434704">
        <w:t xml:space="preserve">to support any reduction in the taxable value of an expense payment benefit </w:t>
      </w:r>
      <w:r w:rsidR="00681D47">
        <w:t>the recipient must give the employer a declaration in the approved form in respect of th</w:t>
      </w:r>
      <w:r w:rsidR="001B5101">
        <w:t>at</w:t>
      </w:r>
      <w:r w:rsidR="00681D47">
        <w:t xml:space="preserve"> expenditure before the employer lodges its FBT return for that year. However, it is not necessary to give a declaration in respect of each and every benefit if the employee provides a </w:t>
      </w:r>
      <w:r>
        <w:t>'</w:t>
      </w:r>
      <w:r w:rsidR="00681D47">
        <w:t>recurring fringe benefit declaration</w:t>
      </w:r>
      <w:r>
        <w:t>'</w:t>
      </w:r>
      <w:r w:rsidR="00681D47">
        <w:t>. This is permissible where the employee receives a series of expense paym</w:t>
      </w:r>
      <w:r w:rsidR="009B1B17">
        <w:t xml:space="preserve">ent </w:t>
      </w:r>
      <w:r w:rsidR="00681D47">
        <w:t xml:space="preserve">benefits </w:t>
      </w:r>
      <w:r>
        <w:t xml:space="preserve">that </w:t>
      </w:r>
      <w:r w:rsidR="00681D47">
        <w:t xml:space="preserve">are </w:t>
      </w:r>
      <w:r w:rsidR="0008153D">
        <w:t>similar</w:t>
      </w:r>
      <w:r w:rsidR="00681D47">
        <w:t xml:space="preserve"> </w:t>
      </w:r>
      <w:r>
        <w:t>(</w:t>
      </w:r>
      <w:r w:rsidR="00681D47">
        <w:t>because the benefits are the same in all respects except for differences that are minimal or insignificant, or that relate to the value of the benefits or to the deductible proportion of those benefits</w:t>
      </w:r>
      <w:r>
        <w:t>)</w:t>
      </w:r>
      <w:r w:rsidR="00681D47">
        <w:t>.</w:t>
      </w:r>
    </w:p>
    <w:p w:rsidR="00681D47" w:rsidRDefault="00681D47" w:rsidP="003F0B5C">
      <w:pPr>
        <w:ind w:left="709"/>
      </w:pPr>
      <w:r>
        <w:t xml:space="preserve">An expense payment benefit will </w:t>
      </w:r>
      <w:r w:rsidR="0008153D">
        <w:t xml:space="preserve">also </w:t>
      </w:r>
      <w:r>
        <w:t xml:space="preserve">be </w:t>
      </w:r>
      <w:r w:rsidR="009B1B17">
        <w:t>exempt if the employer makes a '</w:t>
      </w:r>
      <w:r>
        <w:t>no private use declaration</w:t>
      </w:r>
      <w:r w:rsidR="009B1B17">
        <w:t>' covering th</w:t>
      </w:r>
      <w:r>
        <w:t xml:space="preserve">e </w:t>
      </w:r>
      <w:r w:rsidR="009B1B17">
        <w:t>relevant expense</w:t>
      </w:r>
      <w:r>
        <w:t>.</w:t>
      </w:r>
      <w:r w:rsidR="00386703">
        <w:t xml:space="preserve"> </w:t>
      </w:r>
      <w:r w:rsidR="0054396D">
        <w:t xml:space="preserve">The employer can make a no private use declaration for expenses </w:t>
      </w:r>
      <w:r w:rsidR="0008153D">
        <w:t>that</w:t>
      </w:r>
      <w:r w:rsidR="0054396D">
        <w:t xml:space="preserve"> have a taxable value of nil because, for instance, the benefit </w:t>
      </w:r>
      <w:r w:rsidR="0008153D">
        <w:t>is solely work</w:t>
      </w:r>
      <w:r w:rsidR="0075446C">
        <w:t>-related</w:t>
      </w:r>
      <w:r w:rsidR="0054396D">
        <w:t xml:space="preserve">. The employer's record keeping systems and procedures should make it clear that employees will only be reimbursed </w:t>
      </w:r>
      <w:r w:rsidR="00386703">
        <w:t>f</w:t>
      </w:r>
      <w:r w:rsidR="0054396D">
        <w:t>o</w:t>
      </w:r>
      <w:r w:rsidR="00386703">
        <w:t>r</w:t>
      </w:r>
      <w:r w:rsidR="009B1B17">
        <w:t xml:space="preserve"> work-</w:t>
      </w:r>
      <w:r w:rsidR="0054396D">
        <w:t>related expenses.</w:t>
      </w:r>
    </w:p>
    <w:p w:rsidR="0054396D" w:rsidRPr="008E448F" w:rsidRDefault="0054396D" w:rsidP="003F0B5C">
      <w:pPr>
        <w:pStyle w:val="Schedule1"/>
      </w:pPr>
      <w:r w:rsidRPr="008E448F">
        <w:t>Housing benefits</w:t>
      </w:r>
    </w:p>
    <w:p w:rsidR="003233B3" w:rsidRDefault="0054396D" w:rsidP="003F0B5C">
      <w:pPr>
        <w:ind w:left="709"/>
      </w:pPr>
      <w:r>
        <w:t xml:space="preserve">A housing benefit arises where an employer grants an employee a lease or licence to occupy or use a unit of accommodation as the employee's usual place of residence. Unit of accommodation is defined broadly </w:t>
      </w:r>
      <w:r w:rsidR="004E3DB9">
        <w:t>to</w:t>
      </w:r>
      <w:r>
        <w:t xml:space="preserve"> include houses and units, </w:t>
      </w:r>
      <w:r w:rsidR="004E3DB9">
        <w:t>as well as</w:t>
      </w:r>
      <w:r>
        <w:t xml:space="preserve"> accommodation in hotels and motels, ships and caravans and other mobile homes. However, the accommodation must be the place at which the person either resides or has sleeping accommodation whether on a permanent or temporary basis </w:t>
      </w:r>
      <w:r w:rsidR="003233B3">
        <w:t>(</w:t>
      </w:r>
      <w:r>
        <w:t>whether or not on a shared basis</w:t>
      </w:r>
      <w:r w:rsidR="003233B3">
        <w:t>)</w:t>
      </w:r>
      <w:r>
        <w:t xml:space="preserve">. </w:t>
      </w:r>
    </w:p>
    <w:p w:rsidR="003233B3" w:rsidRDefault="0054396D" w:rsidP="003F0B5C">
      <w:pPr>
        <w:ind w:left="709"/>
      </w:pPr>
      <w:r>
        <w:t>If an employee has more than one place of residence, the Commissioner is unlikely to accept that the unit of accomm</w:t>
      </w:r>
      <w:r w:rsidR="009B3EFD">
        <w:t>odation is the employee's 'u</w:t>
      </w:r>
      <w:r>
        <w:t>sual</w:t>
      </w:r>
      <w:r w:rsidR="009B3EFD">
        <w:t>'</w:t>
      </w:r>
      <w:r>
        <w:t xml:space="preserve"> place of residence if </w:t>
      </w:r>
      <w:r w:rsidR="009B3EFD">
        <w:t>the</w:t>
      </w:r>
      <w:r>
        <w:t xml:space="preserve"> employee is using </w:t>
      </w:r>
      <w:r w:rsidR="003233B3">
        <w:t>that</w:t>
      </w:r>
      <w:r>
        <w:t xml:space="preserve"> residence while temporarily working for the employer at a location </w:t>
      </w:r>
      <w:r w:rsidR="003233B3">
        <w:t xml:space="preserve">but </w:t>
      </w:r>
      <w:r>
        <w:t xml:space="preserve">where the employee intends to return to their former place of residence when the temporary period of work comes to an end. </w:t>
      </w:r>
    </w:p>
    <w:p w:rsidR="0054396D" w:rsidRDefault="0054396D" w:rsidP="003F0B5C">
      <w:pPr>
        <w:ind w:left="709"/>
      </w:pPr>
      <w:r>
        <w:t xml:space="preserve">The taxable value of a housing benefit depends upon the type and location of the accommodation and whether the employer provides identical or similar accommodation to the public. </w:t>
      </w:r>
      <w:r w:rsidR="00F657C8">
        <w:t>The</w:t>
      </w:r>
      <w:r w:rsidR="00273F9E">
        <w:t xml:space="preserve"> taxable value is reduced by the employee's contribution </w:t>
      </w:r>
      <w:r w:rsidR="009B3EFD">
        <w:t xml:space="preserve">to the housing benefit </w:t>
      </w:r>
      <w:r w:rsidR="00273F9E">
        <w:t>(ie</w:t>
      </w:r>
      <w:r w:rsidR="003233B3">
        <w:t>,</w:t>
      </w:r>
      <w:r w:rsidR="009B3EFD">
        <w:t xml:space="preserve"> any rent paid). </w:t>
      </w:r>
      <w:r w:rsidR="00F657C8">
        <w:t>Some</w:t>
      </w:r>
      <w:r w:rsidR="00273F9E">
        <w:t xml:space="preserve"> </w:t>
      </w:r>
      <w:r w:rsidR="003233B3">
        <w:t xml:space="preserve">housing </w:t>
      </w:r>
      <w:r w:rsidR="00F657C8">
        <w:t>benefit</w:t>
      </w:r>
      <w:r w:rsidR="00273F9E">
        <w:t xml:space="preserve">s </w:t>
      </w:r>
      <w:r w:rsidR="00F657C8">
        <w:t>are exempt from FBT such as remote area housing</w:t>
      </w:r>
      <w:r w:rsidR="00273F9E">
        <w:t xml:space="preserve">. </w:t>
      </w:r>
    </w:p>
    <w:p w:rsidR="00273F9E" w:rsidRPr="008E448F" w:rsidRDefault="00273F9E" w:rsidP="003F0B5C">
      <w:pPr>
        <w:pStyle w:val="Schedule1"/>
      </w:pPr>
      <w:r w:rsidRPr="008E448F">
        <w:t>Living away from home allowance benefits</w:t>
      </w:r>
    </w:p>
    <w:p w:rsidR="003233B3" w:rsidRDefault="00273F9E" w:rsidP="003F0B5C">
      <w:pPr>
        <w:ind w:left="709"/>
      </w:pPr>
      <w:r>
        <w:t>A living away from home allowance benefit arises where an employer pays money to an employee in respect of their employment in order for the employee to live away from their normal residence while performing employment duties</w:t>
      </w:r>
      <w:r w:rsidR="003233B3">
        <w:t>. This type of benefit must be</w:t>
      </w:r>
      <w:r>
        <w:t xml:space="preserve"> to compensate the </w:t>
      </w:r>
      <w:r>
        <w:lastRenderedPageBreak/>
        <w:t xml:space="preserve">employee for </w:t>
      </w:r>
      <w:r w:rsidR="003233B3">
        <w:t xml:space="preserve">the </w:t>
      </w:r>
      <w:r>
        <w:t xml:space="preserve">additional non-deductible expenses and disadvantages of living away from that residence. The employee's total remuneration must increase as </w:t>
      </w:r>
      <w:r w:rsidR="0099684D">
        <w:t>a</w:t>
      </w:r>
      <w:r>
        <w:t xml:space="preserve"> result of living away from home because</w:t>
      </w:r>
      <w:r w:rsidR="003233B3">
        <w:t>,</w:t>
      </w:r>
      <w:r>
        <w:t xml:space="preserve"> otherwise</w:t>
      </w:r>
      <w:r w:rsidR="003233B3">
        <w:t>,</w:t>
      </w:r>
      <w:r>
        <w:t xml:space="preserve"> it will not be possible to say that the allowance is for additional expenses. </w:t>
      </w:r>
    </w:p>
    <w:p w:rsidR="00273F9E" w:rsidRDefault="00273F9E" w:rsidP="003F0B5C">
      <w:pPr>
        <w:ind w:left="709"/>
      </w:pPr>
      <w:r>
        <w:t xml:space="preserve">The rules to determine the taxable value of a living away from home allowance benefit changed from 1 October 2012 (subject to certain transitional rules for arrangements entered into before that time). </w:t>
      </w:r>
      <w:r w:rsidR="00CF1B6B">
        <w:t>Provided certain conditions are satisfied, t</w:t>
      </w:r>
      <w:r>
        <w:t xml:space="preserve">he allowance is subject to concessional </w:t>
      </w:r>
      <w:r w:rsidR="0099684D">
        <w:t xml:space="preserve">FBT </w:t>
      </w:r>
      <w:r>
        <w:t>treatment for an employee that maintains a home in Australia (or that is otherwise employed on a fly-in, fly-out or drive-in, drive-out basis</w:t>
      </w:r>
      <w:r w:rsidR="003233B3">
        <w:t>)</w:t>
      </w:r>
      <w:r>
        <w:t>, otherwise, the allowance is fully taxable.</w:t>
      </w:r>
    </w:p>
    <w:p w:rsidR="00847FB9" w:rsidRDefault="00B0143C" w:rsidP="003F0B5C">
      <w:pPr>
        <w:ind w:left="709"/>
      </w:pPr>
      <w:r>
        <w:t xml:space="preserve">The taxable value of </w:t>
      </w:r>
      <w:r w:rsidR="002553CE">
        <w:t>a</w:t>
      </w:r>
      <w:r>
        <w:t xml:space="preserve"> living away from home allowance is reduced by the exempt accommodation and exempt food components. </w:t>
      </w:r>
      <w:r w:rsidR="00187DB8">
        <w:t>The exempt food and accommodation components are limited to benefits provided in the first 12 months of the employee's time required to live away from home (except in relation to employees employed under genuine f</w:t>
      </w:r>
      <w:r w:rsidR="00187DB8" w:rsidRPr="00187DB8">
        <w:t>ly-in, fly-out or drive-in, drive-ou</w:t>
      </w:r>
      <w:r w:rsidR="00187DB8">
        <w:t>t arrangements</w:t>
      </w:r>
      <w:r w:rsidR="003B5D00">
        <w:t>)</w:t>
      </w:r>
      <w:r w:rsidR="00187DB8">
        <w:t xml:space="preserve">. </w:t>
      </w:r>
    </w:p>
    <w:p w:rsidR="00A864EF" w:rsidRDefault="00B0143C" w:rsidP="003F0B5C">
      <w:pPr>
        <w:ind w:left="709"/>
      </w:pPr>
      <w:r>
        <w:t>The accommodation and food components of a living away from home allowance are the amounts that might reasonably be concluded are compensation for expenses to be incurred by an employee on accommodation and food respectively for eligible family members (ie</w:t>
      </w:r>
      <w:r w:rsidR="00A864EF">
        <w:t>,</w:t>
      </w:r>
      <w:r>
        <w:t xml:space="preserve"> the employee, their spouse and children living with the employee while away from home). </w:t>
      </w:r>
    </w:p>
    <w:p w:rsidR="00273F9E" w:rsidRDefault="00A864EF" w:rsidP="003F0B5C">
      <w:pPr>
        <w:ind w:left="709"/>
      </w:pPr>
      <w:r>
        <w:t>The p</w:t>
      </w:r>
      <w:r w:rsidR="00B0143C">
        <w:t xml:space="preserve">art of the accommodation component that will be exempt from FBT is the actual accommodation expenditure incurred by the employee and that the employee substantiates. The exempt food component is the actual expenditure incurred </w:t>
      </w:r>
      <w:r>
        <w:t xml:space="preserve">on </w:t>
      </w:r>
      <w:r w:rsidR="00B0143C">
        <w:t>food and drink for eligible family members less</w:t>
      </w:r>
      <w:r w:rsidR="00187DB8">
        <w:t xml:space="preserve"> an applicable statutory amount</w:t>
      </w:r>
      <w:r w:rsidR="00B0143C">
        <w:t>.</w:t>
      </w:r>
      <w:r w:rsidR="00847FB9">
        <w:t xml:space="preserve"> The exempt food component must be substantiated if the food and drink expenditure exceeds an amount considered by the Commissioner of Taxation to be reasonable. </w:t>
      </w:r>
    </w:p>
    <w:p w:rsidR="008923B3" w:rsidRDefault="00A762C2" w:rsidP="003F0B5C">
      <w:pPr>
        <w:ind w:left="709"/>
      </w:pPr>
      <w:r>
        <w:t>I</w:t>
      </w:r>
      <w:r w:rsidRPr="00A762C2">
        <w:t>n order to be concessionally taxed on a living away from home allowance benefit</w:t>
      </w:r>
      <w:r>
        <w:t>, e</w:t>
      </w:r>
      <w:r w:rsidR="008923B3">
        <w:t xml:space="preserve">mployers must obtain a declaration from the employee in an approved </w:t>
      </w:r>
      <w:r>
        <w:t xml:space="preserve">form </w:t>
      </w:r>
      <w:r w:rsidR="00187DB8">
        <w:t xml:space="preserve">(setting out certain requirements in relation to the employee's home) </w:t>
      </w:r>
      <w:r w:rsidR="008923B3">
        <w:t>before the date on which the employer's FBT return is lodged</w:t>
      </w:r>
      <w:r w:rsidR="00187DB8">
        <w:t>.</w:t>
      </w:r>
    </w:p>
    <w:p w:rsidR="008923B3" w:rsidRPr="008E448F" w:rsidRDefault="008923B3" w:rsidP="003F0B5C">
      <w:pPr>
        <w:pStyle w:val="Schedule1"/>
      </w:pPr>
      <w:r w:rsidRPr="008E448F">
        <w:t>Board benefits</w:t>
      </w:r>
    </w:p>
    <w:p w:rsidR="008923B3" w:rsidRDefault="008923B3" w:rsidP="003F0B5C">
      <w:pPr>
        <w:ind w:left="709"/>
      </w:pPr>
      <w:r>
        <w:t xml:space="preserve">A board benefit arises where an employer provides a meal to an employee on the employer's premises on a day on which </w:t>
      </w:r>
      <w:r w:rsidR="00A864EF">
        <w:t xml:space="preserve">that </w:t>
      </w:r>
      <w:r>
        <w:t>employee is entitled to be provided with residential accommodation and meals pursuant to the provisions of an industrial instrument or under an employment arrangement (excluding meals prepared in a facility wholly or principally used to prepare meals for the employee and excluding meals provided at a party, reception or other social function). The taxable value of the board fringe benefit is $2 per meal where the recipient is 12 years or over before 1 April and $1 otherwise (less any contribution provided by the recipient for the board meal).</w:t>
      </w:r>
    </w:p>
    <w:p w:rsidR="008923B3" w:rsidRPr="008E448F" w:rsidRDefault="008709B0" w:rsidP="003F0B5C">
      <w:pPr>
        <w:pStyle w:val="Schedule1"/>
      </w:pPr>
      <w:r w:rsidRPr="008E448F">
        <w:t>Property benefit</w:t>
      </w:r>
      <w:r w:rsidR="00A864EF" w:rsidRPr="008E448F">
        <w:t>s</w:t>
      </w:r>
    </w:p>
    <w:p w:rsidR="008709B0" w:rsidRDefault="008709B0" w:rsidP="003F0B5C">
      <w:pPr>
        <w:ind w:left="709"/>
      </w:pPr>
      <w:r>
        <w:t xml:space="preserve">A </w:t>
      </w:r>
      <w:r w:rsidR="006B6610">
        <w:t>property fringe benefit arises where an</w:t>
      </w:r>
      <w:r>
        <w:t xml:space="preserve"> employer provides an employee with tangible or intangible property in respect of their employment. The property must actually be transferred to the employee because merely allowing an employee to use an item of property will be a residual benefit.</w:t>
      </w:r>
    </w:p>
    <w:p w:rsidR="008709B0" w:rsidRDefault="008709B0" w:rsidP="003F0B5C">
      <w:pPr>
        <w:ind w:left="709"/>
      </w:pPr>
      <w:r>
        <w:t xml:space="preserve">If the property is provided to an employee on a working day and </w:t>
      </w:r>
      <w:r w:rsidR="00A864EF">
        <w:t xml:space="preserve">is </w:t>
      </w:r>
      <w:r>
        <w:t>consumed on the employer's business premises, it will be exempt from FBT (except where the property is food or drink provided under a salary packaging arrangement). There a</w:t>
      </w:r>
      <w:r w:rsidR="006B6610">
        <w:t xml:space="preserve">re also a number of exemptions relevant to </w:t>
      </w:r>
      <w:r>
        <w:t>speci</w:t>
      </w:r>
      <w:r w:rsidR="006B6610">
        <w:t>fic types of property benefits and any</w:t>
      </w:r>
      <w:r>
        <w:t xml:space="preserve"> minor benefit with a taxable value of less </w:t>
      </w:r>
      <w:r>
        <w:lastRenderedPageBreak/>
        <w:t xml:space="preserve">than $300 </w:t>
      </w:r>
      <w:r w:rsidR="006B6610">
        <w:t xml:space="preserve">will be exempt from FBT </w:t>
      </w:r>
      <w:r>
        <w:t>where it would be unreasonable to treat th</w:t>
      </w:r>
      <w:r w:rsidR="006B6610">
        <w:t xml:space="preserve">e relevant property </w:t>
      </w:r>
      <w:r>
        <w:t>benefit as a fringe benefit.</w:t>
      </w:r>
    </w:p>
    <w:p w:rsidR="00A864EF" w:rsidRDefault="008709B0" w:rsidP="003F0B5C">
      <w:pPr>
        <w:ind w:left="709"/>
      </w:pPr>
      <w:r>
        <w:t xml:space="preserve">The taxable value of </w:t>
      </w:r>
      <w:r w:rsidR="006B6610">
        <w:t>a</w:t>
      </w:r>
      <w:r>
        <w:t xml:space="preserve"> property fringe benefit is the value of that benefit reduced by the recipient's contribution</w:t>
      </w:r>
      <w:r w:rsidR="006B6610">
        <w:t xml:space="preserve"> (ie, any amount that the employee pays to the employer for the property benefit)</w:t>
      </w:r>
      <w:r>
        <w:t xml:space="preserve">. The </w:t>
      </w:r>
      <w:r w:rsidR="006B6610">
        <w:t xml:space="preserve">way in which a property benefit is valued </w:t>
      </w:r>
      <w:r>
        <w:t xml:space="preserve">depends upon whether the property is an </w:t>
      </w:r>
      <w:r w:rsidR="00A864EF">
        <w:t>'</w:t>
      </w:r>
      <w:r>
        <w:t>in</w:t>
      </w:r>
      <w:r>
        <w:noBreakHyphen/>
        <w:t>house property fringe benefit</w:t>
      </w:r>
      <w:r w:rsidR="00A864EF">
        <w:t>'</w:t>
      </w:r>
      <w:r w:rsidR="006B6610">
        <w:t xml:space="preserve">, </w:t>
      </w:r>
      <w:r>
        <w:t>because it is property sold by the employer as part of their business activities</w:t>
      </w:r>
      <w:r w:rsidR="006B6610">
        <w:t xml:space="preserve"> (in which case concessional valuation rules apply</w:t>
      </w:r>
      <w:r w:rsidR="00A864EF">
        <w:t>)</w:t>
      </w:r>
      <w:r w:rsidR="006B6610">
        <w:t>,</w:t>
      </w:r>
      <w:r>
        <w:t xml:space="preserve"> or an external property fringe benefit. Where </w:t>
      </w:r>
      <w:r w:rsidR="006B6610">
        <w:t>the employer provides an external property fringe benefit that was</w:t>
      </w:r>
      <w:r>
        <w:t xml:space="preserve"> purchased under an arm's length transaction at or about the time the benefit is provided, the </w:t>
      </w:r>
      <w:r w:rsidR="006B6610">
        <w:t xml:space="preserve">taxable </w:t>
      </w:r>
      <w:r>
        <w:t xml:space="preserve">value is equal to the cost price of the property. Where the property benefit is entertainment provided by way of food or drink, the employer can elect to use special valuation rules to determine </w:t>
      </w:r>
      <w:r w:rsidR="00A864EF">
        <w:t xml:space="preserve">the </w:t>
      </w:r>
      <w:r>
        <w:t xml:space="preserve">exact FBT liability. </w:t>
      </w:r>
    </w:p>
    <w:p w:rsidR="008709B0" w:rsidRDefault="008709B0" w:rsidP="003F0B5C">
      <w:pPr>
        <w:ind w:left="709"/>
      </w:pPr>
      <w:r>
        <w:t xml:space="preserve">The </w:t>
      </w:r>
      <w:r w:rsidR="006B6610">
        <w:t xml:space="preserve">taxable </w:t>
      </w:r>
      <w:r>
        <w:t>value of the property benefit can also be reduced pursuant to the otherwise deductible rule to the extent that the employee would have been entitled to a</w:t>
      </w:r>
      <w:r w:rsidR="003B2124">
        <w:t xml:space="preserve"> once only</w:t>
      </w:r>
      <w:r>
        <w:t xml:space="preserve"> income tax deduction if it had occurred expenditure in order to acquire that property. </w:t>
      </w:r>
      <w:r w:rsidR="003B2124">
        <w:t xml:space="preserve">The employee must give the </w:t>
      </w:r>
      <w:r w:rsidR="006B6610">
        <w:t>employer a declaration in the ap</w:t>
      </w:r>
      <w:r w:rsidR="003B2124">
        <w:t xml:space="preserve">proved form before the employer lodges its FBT return stating that the property was used for income producing purposes. The employee can </w:t>
      </w:r>
      <w:r w:rsidR="006B6610">
        <w:t xml:space="preserve">also </w:t>
      </w:r>
      <w:r w:rsidR="003B2124">
        <w:t>provide a recurring fringe benefit decla</w:t>
      </w:r>
      <w:r w:rsidR="006B6610">
        <w:t xml:space="preserve">ration where the employee is </w:t>
      </w:r>
      <w:r w:rsidR="003B2124">
        <w:t>provided with property benefits that are essentially the same,</w:t>
      </w:r>
      <w:r w:rsidR="00D10E8A">
        <w:t xml:space="preserve"> </w:t>
      </w:r>
      <w:r w:rsidR="003B2124">
        <w:t xml:space="preserve">other than differences in value and proportion of business use. The declaration should detail the extent to which the property benefit is used by the employee in deriving its </w:t>
      </w:r>
      <w:r w:rsidR="00A864EF">
        <w:t xml:space="preserve">assessable </w:t>
      </w:r>
      <w:r w:rsidR="003B2124">
        <w:t>income.</w:t>
      </w:r>
    </w:p>
    <w:p w:rsidR="00316EEF" w:rsidRPr="008E448F" w:rsidRDefault="00316EEF" w:rsidP="003F0B5C">
      <w:pPr>
        <w:pStyle w:val="Schedule1"/>
      </w:pPr>
      <w:r w:rsidRPr="008E448F">
        <w:t>Meal entertainment benefits</w:t>
      </w:r>
    </w:p>
    <w:p w:rsidR="00ED1619" w:rsidRDefault="00316EEF" w:rsidP="003F0B5C">
      <w:pPr>
        <w:ind w:left="709"/>
      </w:pPr>
      <w:r>
        <w:t>A benefit that an employer provides an employee by way of entertainment will ordinarily be an expense payment fringe bene</w:t>
      </w:r>
      <w:r w:rsidR="00932C94">
        <w:t>fit or property fringe benefit. H</w:t>
      </w:r>
      <w:r>
        <w:t>owever, where the benefit is meal entertainment, the employer can elect to have that fringe benefit taxed in accordance with special rules to reduce compliance costs</w:t>
      </w:r>
      <w:r w:rsidR="007A7F69">
        <w:rPr>
          <w:rStyle w:val="FootnoteReference"/>
        </w:rPr>
        <w:footnoteReference w:id="37"/>
      </w:r>
      <w:r>
        <w:t xml:space="preserve">. A meal entertainment fringe benefit arises where the employer provides </w:t>
      </w:r>
      <w:r w:rsidR="008B4A80">
        <w:t>'</w:t>
      </w:r>
      <w:r>
        <w:t>entertainment</w:t>
      </w:r>
      <w:r w:rsidR="008B4A80">
        <w:t>'</w:t>
      </w:r>
      <w:r>
        <w:t xml:space="preserve"> by way of food or drink (</w:t>
      </w:r>
      <w:r w:rsidR="008B4A80">
        <w:t>and any travel or ac</w:t>
      </w:r>
      <w:r w:rsidR="00BF17D6">
        <w:t xml:space="preserve">commodation </w:t>
      </w:r>
      <w:r>
        <w:t>connected with that entertai</w:t>
      </w:r>
      <w:r w:rsidR="008B4A80">
        <w:t>nment) or reimburses or pays</w:t>
      </w:r>
      <w:r>
        <w:t xml:space="preserve"> expenditure in providing that food, drink, travel or accommodation. </w:t>
      </w:r>
    </w:p>
    <w:p w:rsidR="00932C94" w:rsidRDefault="00316EEF" w:rsidP="003F0B5C">
      <w:pPr>
        <w:ind w:left="709"/>
      </w:pPr>
      <w:r>
        <w:t>It is critical for there to be an element of entertainment for a meal entertainment fringe benefit to arise. Food, drink, accommodation, travel or recreation will not be a meal entertainment fringe benefit if there is an absence of entertainment</w:t>
      </w:r>
      <w:r w:rsidR="00C67F49">
        <w:t xml:space="preserve"> (this would generally be the case where an employer provides a light meal or morning or afternoon tea to employees </w:t>
      </w:r>
      <w:r w:rsidR="00521B74">
        <w:t>at the employer's premises if</w:t>
      </w:r>
      <w:r w:rsidR="00C67F49">
        <w:t xml:space="preserve"> no alcohol is served)</w:t>
      </w:r>
      <w:r>
        <w:t xml:space="preserve">. The Commissioner </w:t>
      </w:r>
      <w:r w:rsidR="00C67F49">
        <w:t xml:space="preserve">of Taxation </w:t>
      </w:r>
      <w:r>
        <w:t xml:space="preserve">lists a number of factors in </w:t>
      </w:r>
      <w:r w:rsidR="00ED1619">
        <w:t>T</w:t>
      </w:r>
      <w:r>
        <w:t xml:space="preserve">axation </w:t>
      </w:r>
      <w:r w:rsidR="00ED1619">
        <w:t>R</w:t>
      </w:r>
      <w:r>
        <w:t xml:space="preserve">uling TR97/17 that are relevant </w:t>
      </w:r>
      <w:r w:rsidR="00ED1619">
        <w:t xml:space="preserve">in helping to determine </w:t>
      </w:r>
      <w:r w:rsidR="008B4A80">
        <w:t xml:space="preserve">if </w:t>
      </w:r>
      <w:r>
        <w:t>entertainment has been provided</w:t>
      </w:r>
      <w:r w:rsidR="00ED1619">
        <w:t xml:space="preserve">. These include why, </w:t>
      </w:r>
      <w:r>
        <w:t>what, where and when the food or drink is being provided</w:t>
      </w:r>
      <w:r w:rsidR="00943A7E">
        <w:t xml:space="preserve"> – however, no one factor is conclusive and all the circumstances surrounding the provision of the meal need to be considered</w:t>
      </w:r>
      <w:r>
        <w:t xml:space="preserve">. </w:t>
      </w:r>
    </w:p>
    <w:p w:rsidR="00ED1619" w:rsidRDefault="00316EEF" w:rsidP="003F0B5C">
      <w:pPr>
        <w:ind w:left="709"/>
      </w:pPr>
      <w:r>
        <w:t xml:space="preserve">For instance, a business lunch or other social function </w:t>
      </w:r>
      <w:r w:rsidR="00932C94">
        <w:t xml:space="preserve">(such as a cocktail party) </w:t>
      </w:r>
      <w:r>
        <w:t xml:space="preserve">would ordinarily constitute entertainment </w:t>
      </w:r>
      <w:r w:rsidR="000C6D6A">
        <w:t xml:space="preserve">because the purpose of the event is for employees to enjoy themselves. </w:t>
      </w:r>
      <w:r w:rsidR="00943A7E">
        <w:t>On the other hand,</w:t>
      </w:r>
      <w:r w:rsidR="004E1A72">
        <w:t xml:space="preserve"> a meal on overnight business travel </w:t>
      </w:r>
      <w:r w:rsidR="00943A7E">
        <w:t xml:space="preserve">generally </w:t>
      </w:r>
      <w:r w:rsidR="004E1A72">
        <w:t>would not</w:t>
      </w:r>
      <w:r w:rsidR="00943A7E">
        <w:t xml:space="preserve"> be entertainment (as the meal is provided for the purpose of refreshment)</w:t>
      </w:r>
      <w:r w:rsidR="00ED1619">
        <w:t>,</w:t>
      </w:r>
      <w:r w:rsidR="004E1A72">
        <w:t xml:space="preserve"> unless the meal was accompanied by some form of entertainment (such as a </w:t>
      </w:r>
      <w:r w:rsidR="00932C94">
        <w:t>sporting or theatrical event</w:t>
      </w:r>
      <w:r w:rsidR="004E1A72">
        <w:t xml:space="preserve"> or </w:t>
      </w:r>
      <w:r w:rsidR="00ED1619">
        <w:t xml:space="preserve">where </w:t>
      </w:r>
      <w:r w:rsidR="004E1A72">
        <w:t xml:space="preserve">more than a small quantity </w:t>
      </w:r>
      <w:r w:rsidR="004E1A72">
        <w:lastRenderedPageBreak/>
        <w:t>of alcohol is consumed).</w:t>
      </w:r>
      <w:r w:rsidR="00943A7E">
        <w:t xml:space="preserve"> The more elaborate the meal the more likely it is that entertainment will be involved. </w:t>
      </w:r>
      <w:r w:rsidR="004E1A72">
        <w:t xml:space="preserve"> </w:t>
      </w:r>
    </w:p>
    <w:p w:rsidR="008B4A80" w:rsidRDefault="008B4A80" w:rsidP="003F0B5C">
      <w:pPr>
        <w:ind w:left="709"/>
      </w:pPr>
      <w:r>
        <w:t>The taxable value</w:t>
      </w:r>
      <w:r w:rsidR="00820936">
        <w:t xml:space="preserve"> of</w:t>
      </w:r>
      <w:r w:rsidR="009F6079">
        <w:t xml:space="preserve"> meal entertainment benefit</w:t>
      </w:r>
      <w:r w:rsidR="00820936">
        <w:t>s</w:t>
      </w:r>
      <w:r w:rsidR="009F6079">
        <w:t xml:space="preserve"> will be determined based upon the c</w:t>
      </w:r>
      <w:r w:rsidR="00820936">
        <w:t>ategory of benefit into which the benefits fall</w:t>
      </w:r>
      <w:r w:rsidR="009F6079">
        <w:t xml:space="preserve"> </w:t>
      </w:r>
      <w:r w:rsidR="00820936">
        <w:t xml:space="preserve">(and will generally equal the employer's actual expenditure on the meal entertainment provided to employees) </w:t>
      </w:r>
      <w:r w:rsidR="009F6079">
        <w:t xml:space="preserve">unless the employer elects to </w:t>
      </w:r>
      <w:r w:rsidR="00EC0E0C">
        <w:t>adopt either the:</w:t>
      </w:r>
      <w:r w:rsidR="009F6079">
        <w:t xml:space="preserve"> </w:t>
      </w:r>
    </w:p>
    <w:p w:rsidR="006C521B" w:rsidRDefault="00361514" w:rsidP="00361514">
      <w:pPr>
        <w:pStyle w:val="Bullet2"/>
      </w:pPr>
      <w:r>
        <w:t>50/50 split method - t</w:t>
      </w:r>
      <w:r w:rsidR="00BF17D6">
        <w:t>he taxable value of</w:t>
      </w:r>
      <w:r>
        <w:t xml:space="preserve"> </w:t>
      </w:r>
      <w:r w:rsidR="004E1A72">
        <w:t>meal entertainment benefit</w:t>
      </w:r>
      <w:r w:rsidR="00BF17D6">
        <w:t>s</w:t>
      </w:r>
      <w:r>
        <w:t xml:space="preserve"> i</w:t>
      </w:r>
      <w:r w:rsidR="004E1A72">
        <w:t xml:space="preserve">s calculated as 50% of the employer's </w:t>
      </w:r>
      <w:r w:rsidR="006C521B">
        <w:t xml:space="preserve">total </w:t>
      </w:r>
      <w:r w:rsidR="004E1A72">
        <w:t>meal entertain</w:t>
      </w:r>
      <w:r w:rsidR="006C521B">
        <w:t xml:space="preserve">ment </w:t>
      </w:r>
      <w:r w:rsidR="00221E40">
        <w:t>expenses, for all people</w:t>
      </w:r>
      <w:r w:rsidR="00FA62DB">
        <w:t xml:space="preserve"> </w:t>
      </w:r>
      <w:r w:rsidR="00221E40">
        <w:t>(</w:t>
      </w:r>
      <w:r w:rsidR="00FA62DB">
        <w:t>not just employees</w:t>
      </w:r>
      <w:r w:rsidR="00221E40">
        <w:t>),</w:t>
      </w:r>
      <w:r w:rsidR="00FA62DB">
        <w:t xml:space="preserve"> </w:t>
      </w:r>
      <w:r w:rsidR="006C521B">
        <w:t>for the FBT year</w:t>
      </w:r>
      <w:r w:rsidR="00820936">
        <w:t xml:space="preserve"> (although this method is simple, </w:t>
      </w:r>
      <w:r w:rsidR="00381642">
        <w:t>it is unlikely to be suitable where</w:t>
      </w:r>
      <w:r w:rsidR="00820936">
        <w:t xml:space="preserve"> a large proportion of meal entertainment expenditure </w:t>
      </w:r>
      <w:r w:rsidR="00381642">
        <w:t>is</w:t>
      </w:r>
      <w:r w:rsidR="00820936">
        <w:t xml:space="preserve"> </w:t>
      </w:r>
      <w:r w:rsidR="00381642">
        <w:t>either</w:t>
      </w:r>
      <w:r w:rsidR="00820936">
        <w:t xml:space="preserve"> FBT exempt </w:t>
      </w:r>
      <w:r w:rsidR="00381642">
        <w:t>or not</w:t>
      </w:r>
      <w:r w:rsidR="00820936">
        <w:t xml:space="preserve"> provided to employees)</w:t>
      </w:r>
      <w:r w:rsidR="006C521B">
        <w:t>; or</w:t>
      </w:r>
    </w:p>
    <w:p w:rsidR="00316EEF" w:rsidRDefault="004E1A72" w:rsidP="00BF17D6">
      <w:pPr>
        <w:pStyle w:val="Bullet2"/>
      </w:pPr>
      <w:r>
        <w:t xml:space="preserve">12 week register </w:t>
      </w:r>
      <w:r w:rsidR="006C521B">
        <w:t>method - t</w:t>
      </w:r>
      <w:r>
        <w:t>he disadvantage with this method is that it increases the employ</w:t>
      </w:r>
      <w:r w:rsidR="006C521B">
        <w:t>er's compliance costs because the employer</w:t>
      </w:r>
      <w:r>
        <w:t xml:space="preserve"> must maintain a register for a 12 week period comparing the proportion of meal entertainment fringe benefits provided compared with the total value of meal entertainment</w:t>
      </w:r>
      <w:r w:rsidR="006C521B">
        <w:t xml:space="preserve"> (th</w:t>
      </w:r>
      <w:r w:rsidR="00BF17D6">
        <w:t xml:space="preserve">e taxable value </w:t>
      </w:r>
      <w:r w:rsidR="00BF17D6" w:rsidRPr="00BF17D6">
        <w:t xml:space="preserve">of meal entertainment benefits </w:t>
      </w:r>
      <w:r w:rsidR="006C521B">
        <w:t xml:space="preserve">is </w:t>
      </w:r>
      <w:r w:rsidR="00BF17D6">
        <w:t xml:space="preserve">this </w:t>
      </w:r>
      <w:r w:rsidR="006C521B">
        <w:t xml:space="preserve">proportion </w:t>
      </w:r>
      <w:r w:rsidR="00BF17D6">
        <w:t>of the employer's</w:t>
      </w:r>
      <w:r w:rsidR="006C521B">
        <w:t xml:space="preserve"> </w:t>
      </w:r>
      <w:r w:rsidR="006C521B" w:rsidRPr="006C521B">
        <w:t xml:space="preserve">total meal entertainment expenses </w:t>
      </w:r>
      <w:r w:rsidR="00FA62DB">
        <w:t xml:space="preserve">for all people, not just employees, </w:t>
      </w:r>
      <w:r w:rsidR="006C521B" w:rsidRPr="006C521B">
        <w:t>for the FBT year</w:t>
      </w:r>
      <w:r w:rsidR="00BF17D6">
        <w:t>)</w:t>
      </w:r>
      <w:r>
        <w:t>.</w:t>
      </w:r>
      <w:r w:rsidR="0063452C">
        <w:t xml:space="preserve"> </w:t>
      </w:r>
    </w:p>
    <w:p w:rsidR="0063452C" w:rsidRDefault="0063452C" w:rsidP="00E16B1E">
      <w:pPr>
        <w:ind w:left="709"/>
      </w:pPr>
      <w:r>
        <w:t>Significantly, where a PBI provides a meal entertainment benefit, it will be an exempt benefit and, accordingly, there will be no FBT liability.</w:t>
      </w:r>
      <w:r w:rsidR="00BF17D6">
        <w:t xml:space="preserve"> Nor is </w:t>
      </w:r>
      <w:r w:rsidR="00FA62DB">
        <w:t xml:space="preserve">an employer </w:t>
      </w:r>
      <w:r w:rsidR="009374B7">
        <w:t>that is a PBI</w:t>
      </w:r>
      <w:r w:rsidR="00BF17D6">
        <w:t xml:space="preserve"> </w:t>
      </w:r>
      <w:r w:rsidR="009374B7">
        <w:t xml:space="preserve">currently </w:t>
      </w:r>
      <w:r w:rsidR="00BF17D6">
        <w:t xml:space="preserve">required to report these meal benefits on </w:t>
      </w:r>
      <w:r w:rsidR="00FA62DB">
        <w:t>an</w:t>
      </w:r>
      <w:r w:rsidR="00BF17D6">
        <w:t xml:space="preserve"> employee</w:t>
      </w:r>
      <w:r w:rsidR="00FA62DB">
        <w:t>'s payment summary</w:t>
      </w:r>
      <w:r w:rsidR="00BF17D6">
        <w:t xml:space="preserve"> as they are excluded benefits for FBT reporting purposes</w:t>
      </w:r>
      <w:r w:rsidR="008F3B07">
        <w:rPr>
          <w:rStyle w:val="FootnoteReference"/>
        </w:rPr>
        <w:footnoteReference w:id="38"/>
      </w:r>
      <w:r w:rsidR="00BF17D6">
        <w:t>.</w:t>
      </w:r>
      <w:r w:rsidR="00DC252E">
        <w:t xml:space="preserve"> Therefore, as </w:t>
      </w:r>
      <w:r w:rsidR="008A7251">
        <w:t xml:space="preserve">the employer </w:t>
      </w:r>
      <w:r w:rsidR="00DC252E">
        <w:t xml:space="preserve">will not be liable to pay FBT in relation to meal entertainment benefits that it provides to its employees, </w:t>
      </w:r>
      <w:r w:rsidR="00DC252E" w:rsidRPr="00DC252E">
        <w:t xml:space="preserve">there is </w:t>
      </w:r>
      <w:r w:rsidR="00DC252E">
        <w:t xml:space="preserve">likely to be </w:t>
      </w:r>
      <w:r w:rsidR="00DC252E" w:rsidRPr="00DC252E">
        <w:t xml:space="preserve">little benefit in </w:t>
      </w:r>
      <w:r w:rsidR="008A7251">
        <w:t>the employer</w:t>
      </w:r>
      <w:r w:rsidR="00DC252E">
        <w:t xml:space="preserve"> electing to use either of the concessional valuation methods</w:t>
      </w:r>
      <w:r w:rsidR="007A7F69">
        <w:rPr>
          <w:rStyle w:val="FootnoteReference"/>
        </w:rPr>
        <w:footnoteReference w:id="39"/>
      </w:r>
      <w:r w:rsidR="00DC252E">
        <w:t>.</w:t>
      </w:r>
      <w:r>
        <w:t xml:space="preserve"> </w:t>
      </w:r>
    </w:p>
    <w:p w:rsidR="004E1A72" w:rsidRPr="008E448F" w:rsidRDefault="00381642" w:rsidP="003F0B5C">
      <w:pPr>
        <w:pStyle w:val="Schedule1"/>
      </w:pPr>
      <w:r>
        <w:t>Tax-</w:t>
      </w:r>
      <w:r w:rsidR="004E1A72" w:rsidRPr="008E448F">
        <w:t>exempt body entertainment benefits</w:t>
      </w:r>
    </w:p>
    <w:p w:rsidR="0063452C" w:rsidRDefault="00470D25" w:rsidP="003F0B5C">
      <w:pPr>
        <w:ind w:left="709"/>
      </w:pPr>
      <w:r>
        <w:t xml:space="preserve">Expenditure on entertainment by an employer that is wholly exempt from income tax (or </w:t>
      </w:r>
      <w:r w:rsidR="00ED1619">
        <w:t xml:space="preserve">an employer </w:t>
      </w:r>
      <w:r>
        <w:t>that does not otherwise derive assessable income from the activities to which the enter</w:t>
      </w:r>
      <w:r w:rsidR="00836FD0">
        <w:t>tainment relates) will be a tax-</w:t>
      </w:r>
      <w:r>
        <w:t xml:space="preserve">exempt body entertainment benefit. If that expenditure </w:t>
      </w:r>
      <w:r w:rsidR="00836FD0">
        <w:t xml:space="preserve">on entertainment </w:t>
      </w:r>
      <w:r>
        <w:t>would have been deductible</w:t>
      </w:r>
      <w:r w:rsidR="00836FD0">
        <w:t xml:space="preserve"> for income tax purposes</w:t>
      </w:r>
      <w:r>
        <w:t xml:space="preserve">, if not for the rules </w:t>
      </w:r>
      <w:r w:rsidR="00836FD0">
        <w:t>that</w:t>
      </w:r>
      <w:r>
        <w:t xml:space="preserve"> </w:t>
      </w:r>
      <w:r w:rsidR="00ED1619">
        <w:t>den</w:t>
      </w:r>
      <w:r w:rsidR="00836FD0">
        <w:t>y</w:t>
      </w:r>
      <w:r w:rsidR="00ED1619">
        <w:t xml:space="preserve"> a taxpayer a </w:t>
      </w:r>
      <w:r>
        <w:t xml:space="preserve">deduction for most entertainment expenses, that </w:t>
      </w:r>
      <w:r w:rsidR="00836FD0">
        <w:t xml:space="preserve">expenditure will </w:t>
      </w:r>
      <w:r>
        <w:t>not be a tax</w:t>
      </w:r>
      <w:r w:rsidR="00836FD0">
        <w:t>-</w:t>
      </w:r>
      <w:r>
        <w:t>exem</w:t>
      </w:r>
      <w:r w:rsidR="00836FD0">
        <w:t>pt body entertainment benefit (for instance, meals provided to employees i</w:t>
      </w:r>
      <w:r>
        <w:t xml:space="preserve">n staff cafeterias </w:t>
      </w:r>
      <w:r w:rsidR="00836FD0">
        <w:t>or during business seminars or</w:t>
      </w:r>
      <w:r>
        <w:t xml:space="preserve"> on business travel away from home</w:t>
      </w:r>
      <w:r w:rsidR="00836FD0">
        <w:t>)</w:t>
      </w:r>
      <w:r>
        <w:t xml:space="preserve">. </w:t>
      </w:r>
    </w:p>
    <w:p w:rsidR="000F733D" w:rsidRDefault="00836FD0" w:rsidP="003F0B5C">
      <w:pPr>
        <w:ind w:left="709"/>
      </w:pPr>
      <w:r>
        <w:t>A tax-exempt</w:t>
      </w:r>
      <w:r w:rsidR="00470D25">
        <w:t xml:space="preserve"> employer </w:t>
      </w:r>
      <w:r>
        <w:t xml:space="preserve">is liable for FBT </w:t>
      </w:r>
      <w:r w:rsidR="000F733D">
        <w:t xml:space="preserve">when it provides </w:t>
      </w:r>
      <w:r w:rsidRPr="00836FD0">
        <w:t>tax-exempt body entertainment benefit</w:t>
      </w:r>
      <w:r>
        <w:t xml:space="preserve">s </w:t>
      </w:r>
      <w:r w:rsidR="000F733D">
        <w:t>to its employees</w:t>
      </w:r>
      <w:r>
        <w:t xml:space="preserve"> (</w:t>
      </w:r>
      <w:r w:rsidRPr="00836FD0">
        <w:t>subject to any relevant entertainment concessions</w:t>
      </w:r>
      <w:r>
        <w:t>)</w:t>
      </w:r>
      <w:r w:rsidR="00381642">
        <w:t xml:space="preserve">. </w:t>
      </w:r>
      <w:r w:rsidR="000F733D">
        <w:t>The taxable value of a tax</w:t>
      </w:r>
      <w:r w:rsidR="00381642">
        <w:t>-</w:t>
      </w:r>
      <w:r w:rsidR="000F733D">
        <w:t xml:space="preserve">exempt body entertainment benefit is the amount of </w:t>
      </w:r>
      <w:r w:rsidR="00381642">
        <w:t>actual</w:t>
      </w:r>
      <w:r w:rsidR="000F733D">
        <w:t xml:space="preserve"> expenditure incurred by the employer in providing the entertainment to the employe</w:t>
      </w:r>
      <w:r>
        <w:t>e</w:t>
      </w:r>
      <w:r w:rsidR="000F733D">
        <w:t>. Significantly, any contributions that an employee makes cannot re</w:t>
      </w:r>
      <w:r w:rsidR="00381642">
        <w:t>duce the taxable value of a tax-</w:t>
      </w:r>
      <w:r w:rsidR="000F733D">
        <w:t>exempt body entertainment benefit.</w:t>
      </w:r>
    </w:p>
    <w:p w:rsidR="000F733D" w:rsidRDefault="000F733D" w:rsidP="003F0B5C">
      <w:pPr>
        <w:ind w:left="709"/>
      </w:pPr>
      <w:r>
        <w:lastRenderedPageBreak/>
        <w:t xml:space="preserve">However, as </w:t>
      </w:r>
      <w:r w:rsidR="00381642">
        <w:t>noted</w:t>
      </w:r>
      <w:r>
        <w:t xml:space="preserve"> above, when calculating the </w:t>
      </w:r>
      <w:r w:rsidR="008A7251">
        <w:t>FBT that a PBI</w:t>
      </w:r>
      <w:r w:rsidR="00381642">
        <w:t xml:space="preserve"> must pay</w:t>
      </w:r>
      <w:r>
        <w:t xml:space="preserve">, the </w:t>
      </w:r>
      <w:r w:rsidR="00381642">
        <w:t xml:space="preserve">taxable </w:t>
      </w:r>
      <w:r>
        <w:t>value of meal entertainment benefits (as well as car parking fringe benefits and entertainment facility leasing expenses) are excluded</w:t>
      </w:r>
      <w:r w:rsidR="00ED1619">
        <w:t>.</w:t>
      </w:r>
      <w:r>
        <w:t xml:space="preserve"> </w:t>
      </w:r>
      <w:r w:rsidR="00F92F85">
        <w:t>In other words, a PBI only needs to determine the taxable value of recreational entertainment that it provides in order to calculate the FBT that it must pay in relation to</w:t>
      </w:r>
      <w:r w:rsidR="00F92F85" w:rsidRPr="00F92F85">
        <w:t xml:space="preserve"> tax-exe</w:t>
      </w:r>
      <w:r w:rsidR="00F92F85">
        <w:t>mpt body entertainment benefits</w:t>
      </w:r>
      <w:r>
        <w:t>.</w:t>
      </w:r>
    </w:p>
    <w:p w:rsidR="000F733D" w:rsidRDefault="00FA31A4" w:rsidP="003F0B5C">
      <w:pPr>
        <w:ind w:left="709"/>
      </w:pPr>
      <w:r>
        <w:t>The taxable value of the recreation component of a</w:t>
      </w:r>
      <w:r w:rsidRPr="00FA31A4">
        <w:t xml:space="preserve"> tax-ex</w:t>
      </w:r>
      <w:r>
        <w:t>empt body entertainment benefit is generally equal to the cost of the recreation activity itself</w:t>
      </w:r>
      <w:r w:rsidR="000F733D">
        <w:t xml:space="preserve">. </w:t>
      </w:r>
      <w:r w:rsidR="003874EA">
        <w:t xml:space="preserve">However, if the </w:t>
      </w:r>
      <w:r w:rsidR="00453882">
        <w:t>expenditure</w:t>
      </w:r>
      <w:r w:rsidR="003874EA">
        <w:t xml:space="preserve"> relates to the</w:t>
      </w:r>
      <w:r w:rsidR="003874EA" w:rsidRPr="003874EA">
        <w:t xml:space="preserve"> hiring or leasing </w:t>
      </w:r>
      <w:r w:rsidR="003874EA">
        <w:t xml:space="preserve">of </w:t>
      </w:r>
      <w:r w:rsidR="003874EA" w:rsidRPr="003874EA">
        <w:t xml:space="preserve">corporate boxes, boats, planes </w:t>
      </w:r>
      <w:r w:rsidR="003874EA">
        <w:t>or</w:t>
      </w:r>
      <w:r w:rsidR="003874EA" w:rsidRPr="003874EA">
        <w:t xml:space="preserve"> other premises or facilities for the purpose of providing entertainment</w:t>
      </w:r>
      <w:r w:rsidR="00453882">
        <w:t xml:space="preserve"> (excluding any part relating to food, drink or advertising)</w:t>
      </w:r>
      <w:r w:rsidR="003874EA">
        <w:t xml:space="preserve">, </w:t>
      </w:r>
      <w:r w:rsidR="00C3374C">
        <w:t>this will be an '</w:t>
      </w:r>
      <w:r w:rsidR="000F733D">
        <w:t xml:space="preserve">entertainment facility </w:t>
      </w:r>
      <w:r w:rsidR="00487244">
        <w:t>leasing expense</w:t>
      </w:r>
      <w:r w:rsidR="00C3374C">
        <w:t>'</w:t>
      </w:r>
      <w:r w:rsidR="00487244">
        <w:t xml:space="preserve"> and, </w:t>
      </w:r>
      <w:r w:rsidR="00C3374C">
        <w:t>an</w:t>
      </w:r>
      <w:r w:rsidR="00487244">
        <w:t xml:space="preserve"> employer can elect to apply the 50/50 method so that only half of the expenditure </w:t>
      </w:r>
      <w:r w:rsidR="00C3374C">
        <w:t>is</w:t>
      </w:r>
      <w:r w:rsidR="00487244">
        <w:t xml:space="preserve"> subject to</w:t>
      </w:r>
      <w:r w:rsidR="00C3374C">
        <w:t xml:space="preserve"> FBT</w:t>
      </w:r>
      <w:r w:rsidR="00C3374C">
        <w:rPr>
          <w:rStyle w:val="FootnoteReference"/>
        </w:rPr>
        <w:footnoteReference w:id="40"/>
      </w:r>
      <w:r w:rsidR="00487244">
        <w:t>.</w:t>
      </w:r>
    </w:p>
    <w:p w:rsidR="00D10E8A" w:rsidRDefault="00D10E8A" w:rsidP="00D10E8A">
      <w:pPr>
        <w:pStyle w:val="Schedule1"/>
      </w:pPr>
      <w:r>
        <w:t>Residual benefits</w:t>
      </w:r>
    </w:p>
    <w:p w:rsidR="00314CA6" w:rsidRDefault="00D10E8A" w:rsidP="00314CA6">
      <w:pPr>
        <w:ind w:left="709"/>
      </w:pPr>
      <w:r>
        <w:t xml:space="preserve">A residual benefit is a benefit </w:t>
      </w:r>
      <w:r w:rsidR="00453882">
        <w:t>an</w:t>
      </w:r>
      <w:r>
        <w:t xml:space="preserve"> employer provides </w:t>
      </w:r>
      <w:r w:rsidR="00453882">
        <w:t>an</w:t>
      </w:r>
      <w:r>
        <w:t xml:space="preserve"> employee in respect of their employment that is not otherwise covered by a specific rule regarding categories and valuation of benefits. This would include the performance of work (including</w:t>
      </w:r>
      <w:r w:rsidR="00453882">
        <w:t>, for instance,</w:t>
      </w:r>
      <w:r>
        <w:t xml:space="preserve"> the supply</w:t>
      </w:r>
      <w:r w:rsidR="00453882">
        <w:t xml:space="preserve"> of legal services</w:t>
      </w:r>
      <w:r>
        <w:t xml:space="preserve">) and the use of property not otherwise amounting to a transfer of that property. </w:t>
      </w:r>
    </w:p>
    <w:p w:rsidR="00D10E8A" w:rsidRDefault="00D10E8A" w:rsidP="00314CA6">
      <w:pPr>
        <w:ind w:left="709"/>
      </w:pPr>
      <w:r>
        <w:t>The calculation of the taxable value of the residual benefit depends upon whether th</w:t>
      </w:r>
      <w:r w:rsidR="00314CA6">
        <w:t>e</w:t>
      </w:r>
      <w:r>
        <w:t xml:space="preserve"> benefit is provided over a period extending beyond one day and whether it is an external re</w:t>
      </w:r>
      <w:r w:rsidR="00314CA6">
        <w:t>sidual fringe benefit or an 'in-</w:t>
      </w:r>
      <w:r>
        <w:t>house residual fringe benefit' (because th</w:t>
      </w:r>
      <w:r w:rsidR="00314CA6">
        <w:t>e</w:t>
      </w:r>
      <w:r>
        <w:t xml:space="preserve"> benefit is p</w:t>
      </w:r>
      <w:r w:rsidR="00314CA6">
        <w:t>rovided by the employer and the employer</w:t>
      </w:r>
      <w:r>
        <w:t xml:space="preserve"> carr</w:t>
      </w:r>
      <w:r w:rsidR="00314CA6">
        <w:t>ies</w:t>
      </w:r>
      <w:r>
        <w:t xml:space="preserve"> on a business of providing identical or similar benefits to members of the public). </w:t>
      </w:r>
    </w:p>
    <w:p w:rsidR="00D10E8A" w:rsidRDefault="00D10E8A" w:rsidP="00D10E8A">
      <w:pPr>
        <w:ind w:left="709"/>
      </w:pPr>
      <w:r>
        <w:t xml:space="preserve">There are three methods for calculating the taxable value of external residual fringe benefits depending upon whether the employer provided the benefit and whether the employer acquired that benefit from another party under an arm's length transaction. For instance, the taxable value of a residual fringe benefit provided by an employer during a one day period will equal the purchase price paid by the employer to the third party under the relevant arm's length transaction (less any contribution that the employee provided for the benefit). There are two methods for calculating the taxable value </w:t>
      </w:r>
      <w:r w:rsidR="00314CA6">
        <w:t>of an in-</w:t>
      </w:r>
      <w:r>
        <w:t xml:space="preserve">house residual fringe benefit, depending upon whether the employer provides identical benefits to members of the public in the ordinary course of its business. </w:t>
      </w:r>
    </w:p>
    <w:p w:rsidR="00314CA6" w:rsidRDefault="00314CA6" w:rsidP="00314CA6">
      <w:pPr>
        <w:ind w:left="709"/>
      </w:pPr>
      <w:r>
        <w:t xml:space="preserve">A number of residual benefits are specifically exempted from FBT. It is possible for an employer </w:t>
      </w:r>
      <w:r w:rsidR="009374B7">
        <w:t>to</w:t>
      </w:r>
      <w:r>
        <w:t xml:space="preserve"> make a no-private-use declaration covering all residual benefits, provided that the benefits are covered by a 'consistently enforced policy in relation to the use of the property that is the subject of the benefit that would result in the taxable value of the benefit being nil'. If the declaration is made, the residual benefits that the employer provides will be exempt from FBT. However, the employer must ensure it has policies that prevent employees from using these benefits for any private purposes and that any use will solely be for employment-related activities. If the employer makes this declaration, employees do not need to provide their own declaration. The no-private-use declaration must be made in the approved form by the employer before the day that it lodges its FBT return. </w:t>
      </w:r>
    </w:p>
    <w:p w:rsidR="00D10E8A" w:rsidRDefault="00D10E8A" w:rsidP="00FC7CFE">
      <w:pPr>
        <w:ind w:left="709"/>
      </w:pPr>
      <w:r>
        <w:lastRenderedPageBreak/>
        <w:t>T</w:t>
      </w:r>
      <w:r w:rsidR="00314CA6">
        <w:t>he otherwise deductible rule can apply</w:t>
      </w:r>
      <w:r>
        <w:t xml:space="preserve"> to residual fringe benefits. It will reduce</w:t>
      </w:r>
      <w:r w:rsidR="00314CA6">
        <w:t xml:space="preserve"> the taxable value of a</w:t>
      </w:r>
      <w:r>
        <w:t xml:space="preserve"> benefit by the amount of any once only tax deduction to which the employee would be entitled if it had incurred the expenditure in acquiring that benefit. The employee is required to give the employer a declaration in the approved form before the date that the employer lodges its FBT return </w:t>
      </w:r>
      <w:r w:rsidR="00FC7CFE">
        <w:t>to substantiate the deduction. Alternatively, an</w:t>
      </w:r>
      <w:r>
        <w:t xml:space="preserve"> employee can give </w:t>
      </w:r>
      <w:r w:rsidR="00FC7CFE">
        <w:t xml:space="preserve">their employer </w:t>
      </w:r>
      <w:r>
        <w:t>a recurring fringe benefit declaration</w:t>
      </w:r>
      <w:r w:rsidR="00314CA6">
        <w:t xml:space="preserve"> where the residual benefits are </w:t>
      </w:r>
      <w:r w:rsidR="00FC7CFE">
        <w:t>the same in all respects except for any differences that are minimal or insignificant, that relate to the value of the benefits or the deductible proportion of the benefits</w:t>
      </w:r>
      <w:r>
        <w:t xml:space="preserve">. </w:t>
      </w:r>
    </w:p>
    <w:p w:rsidR="007F3E6E" w:rsidRPr="007F3E6E" w:rsidRDefault="007F3E6E" w:rsidP="007F3E6E"/>
    <w:sectPr w:rsidR="007F3E6E" w:rsidRPr="007F3E6E" w:rsidSect="00990313">
      <w:pgSz w:w="11907" w:h="16839" w:code="9"/>
      <w:pgMar w:top="1701" w:right="1134" w:bottom="1134" w:left="1417"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2C8" w:rsidRDefault="003932C8">
      <w:r>
        <w:separator/>
      </w:r>
    </w:p>
  </w:endnote>
  <w:endnote w:type="continuationSeparator" w:id="0">
    <w:p w:rsidR="003932C8" w:rsidRDefault="0039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Borders>
        <w:top w:val="single" w:sz="4" w:space="0" w:color="auto"/>
      </w:tblBorders>
      <w:tblLayout w:type="fixed"/>
      <w:tblCellMar>
        <w:left w:w="0" w:type="dxa"/>
        <w:right w:w="0" w:type="dxa"/>
      </w:tblCellMar>
      <w:tblLook w:val="0000"/>
    </w:tblPr>
    <w:tblGrid>
      <w:gridCol w:w="7087"/>
      <w:gridCol w:w="2268"/>
    </w:tblGrid>
    <w:tr w:rsidR="003932C8" w:rsidTr="00990313">
      <w:tc>
        <w:tcPr>
          <w:tcW w:w="7087" w:type="dxa"/>
        </w:tcPr>
        <w:p w:rsidR="003932C8" w:rsidRDefault="007F1357">
          <w:pPr>
            <w:pStyle w:val="Footer"/>
          </w:pPr>
          <w:fldSimple w:instr=" DOCPROPERTY &quot;DOCSFooter&quot;  \* MERGEFORMAT ">
            <w:r w:rsidR="000419E4">
              <w:t xml:space="preserve">mvjb A0131129899v3 120395252 </w:t>
            </w:r>
          </w:fldSimple>
          <w:r w:rsidR="003932C8">
            <w:t xml:space="preserve">    </w:t>
          </w:r>
          <w:r>
            <w:fldChar w:fldCharType="begin"/>
          </w:r>
          <w:r w:rsidR="003932C8">
            <w:instrText xml:space="preserve"> SAVEDATE \@ "d.M.yyyy" \* MERGEFORMAT </w:instrText>
          </w:r>
          <w:r>
            <w:fldChar w:fldCharType="separate"/>
          </w:r>
          <w:r w:rsidR="00373728">
            <w:t>27.1.2016</w:t>
          </w:r>
          <w:r>
            <w:fldChar w:fldCharType="end"/>
          </w:r>
        </w:p>
      </w:tc>
      <w:tc>
        <w:tcPr>
          <w:tcW w:w="2268" w:type="dxa"/>
        </w:tcPr>
        <w:p w:rsidR="003932C8" w:rsidRDefault="003932C8" w:rsidP="009B17BB">
          <w:pPr>
            <w:pStyle w:val="Footer"/>
            <w:jc w:val="right"/>
          </w:pPr>
          <w:r>
            <w:rPr>
              <w:snapToGrid w:val="0"/>
            </w:rPr>
            <w:t xml:space="preserve">page </w:t>
          </w:r>
          <w:r w:rsidR="007F1357">
            <w:rPr>
              <w:snapToGrid w:val="0"/>
            </w:rPr>
            <w:fldChar w:fldCharType="begin"/>
          </w:r>
          <w:r>
            <w:rPr>
              <w:snapToGrid w:val="0"/>
            </w:rPr>
            <w:instrText xml:space="preserve"> PAGE </w:instrText>
          </w:r>
          <w:r w:rsidR="007F1357">
            <w:rPr>
              <w:snapToGrid w:val="0"/>
            </w:rPr>
            <w:fldChar w:fldCharType="separate"/>
          </w:r>
          <w:r w:rsidR="00373728">
            <w:rPr>
              <w:snapToGrid w:val="0"/>
            </w:rPr>
            <w:t>30</w:t>
          </w:r>
          <w:r w:rsidR="007F1357">
            <w:rPr>
              <w:snapToGrid w:val="0"/>
            </w:rPr>
            <w:fldChar w:fldCharType="end"/>
          </w:r>
        </w:p>
      </w:tc>
    </w:tr>
  </w:tbl>
  <w:p w:rsidR="003932C8" w:rsidRPr="000E5DE7" w:rsidRDefault="003932C8">
    <w:pPr>
      <w:pStyle w:val="Footer"/>
      <w:rPr>
        <w:sz w:val="12"/>
        <w:szCs w:val="12"/>
      </w:rPr>
    </w:pPr>
    <w:r w:rsidRPr="000E5DE7">
      <w:rPr>
        <w:sz w:val="12"/>
        <w:szCs w:val="12"/>
      </w:rPr>
      <w:t>Allens is an independent partnership operating in alliance with Linklaters LLP.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C8" w:rsidRPr="00990313" w:rsidRDefault="003932C8" w:rsidP="00990313">
    <w:pPr>
      <w:pStyle w:val="Footer"/>
      <w:rPr>
        <w:sz w:val="12"/>
      </w:rPr>
    </w:pPr>
    <w:r>
      <w:t>Allens is an independent partnership operating in alliance with Linklaters LLP.</w:t>
    </w:r>
    <w:bookmarkStart w:id="3" w:name="DocumentDisclaimer"/>
    <w:r w:rsidRPr="00990313">
      <w:rPr>
        <w:sz w:val="12"/>
      </w:rPr>
      <w:t>Allens is an independent partnership operating in alliance with Linklaters LLP.</w:t>
    </w:r>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Borders>
        <w:top w:val="single" w:sz="4" w:space="0" w:color="auto"/>
      </w:tblBorders>
      <w:tblLayout w:type="fixed"/>
      <w:tblCellMar>
        <w:left w:w="0" w:type="dxa"/>
        <w:right w:w="0" w:type="dxa"/>
      </w:tblCellMar>
      <w:tblLook w:val="0000"/>
    </w:tblPr>
    <w:tblGrid>
      <w:gridCol w:w="7087"/>
      <w:gridCol w:w="2268"/>
    </w:tblGrid>
    <w:tr w:rsidR="003932C8" w:rsidTr="00990313">
      <w:tc>
        <w:tcPr>
          <w:tcW w:w="7087" w:type="dxa"/>
        </w:tcPr>
        <w:p w:rsidR="003932C8" w:rsidRDefault="007F1357">
          <w:pPr>
            <w:pStyle w:val="Footer"/>
          </w:pPr>
          <w:fldSimple w:instr=" DOCPROPERTY &quot;DOCSFooter&quot;  \* MERGEFORMAT ">
            <w:r w:rsidR="000419E4">
              <w:t xml:space="preserve">mvjb A0131129899v3 120395252 </w:t>
            </w:r>
          </w:fldSimple>
          <w:r w:rsidR="003932C8">
            <w:t xml:space="preserve">    </w:t>
          </w:r>
          <w:r>
            <w:fldChar w:fldCharType="begin"/>
          </w:r>
          <w:r w:rsidR="003932C8">
            <w:instrText xml:space="preserve"> SAVEDATE \@ "d.M.yyyy" \* MERGEFORMAT </w:instrText>
          </w:r>
          <w:r>
            <w:fldChar w:fldCharType="separate"/>
          </w:r>
          <w:r w:rsidR="00373728">
            <w:t>27.1.2016</w:t>
          </w:r>
          <w:r>
            <w:fldChar w:fldCharType="end"/>
          </w:r>
        </w:p>
      </w:tc>
      <w:tc>
        <w:tcPr>
          <w:tcW w:w="2268" w:type="dxa"/>
        </w:tcPr>
        <w:p w:rsidR="003932C8" w:rsidRDefault="003932C8">
          <w:pPr>
            <w:pStyle w:val="Footer"/>
            <w:jc w:val="right"/>
          </w:pPr>
          <w:r>
            <w:rPr>
              <w:snapToGrid w:val="0"/>
            </w:rPr>
            <w:t xml:space="preserve">page </w:t>
          </w:r>
          <w:r w:rsidR="007F1357">
            <w:rPr>
              <w:snapToGrid w:val="0"/>
            </w:rPr>
            <w:fldChar w:fldCharType="begin"/>
          </w:r>
          <w:r>
            <w:rPr>
              <w:snapToGrid w:val="0"/>
            </w:rPr>
            <w:instrText xml:space="preserve"> PAGE </w:instrText>
          </w:r>
          <w:r w:rsidR="007F1357">
            <w:rPr>
              <w:snapToGrid w:val="0"/>
            </w:rPr>
            <w:fldChar w:fldCharType="separate"/>
          </w:r>
          <w:r w:rsidR="00373728">
            <w:rPr>
              <w:snapToGrid w:val="0"/>
            </w:rPr>
            <w:t>3</w:t>
          </w:r>
          <w:r w:rsidR="007F1357">
            <w:rPr>
              <w:snapToGrid w:val="0"/>
            </w:rPr>
            <w:fldChar w:fldCharType="end"/>
          </w:r>
        </w:p>
      </w:tc>
    </w:tr>
  </w:tbl>
  <w:p w:rsidR="003932C8" w:rsidRDefault="003932C8">
    <w:pPr>
      <w:pStyle w:val="Footer"/>
    </w:pPr>
    <w:r>
      <w:rPr>
        <w:sz w:val="12"/>
      </w:rPr>
      <w:t>Allens is an independent partnership operating in alliance with Linklaters LLP.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2C8" w:rsidRDefault="003932C8">
      <w:r>
        <w:separator/>
      </w:r>
    </w:p>
  </w:footnote>
  <w:footnote w:type="continuationSeparator" w:id="0">
    <w:p w:rsidR="003932C8" w:rsidRDefault="003932C8">
      <w:r>
        <w:continuationSeparator/>
      </w:r>
    </w:p>
  </w:footnote>
  <w:footnote w:id="1">
    <w:p w:rsidR="003932C8" w:rsidRDefault="003932C8">
      <w:pPr>
        <w:pStyle w:val="FootnoteText"/>
      </w:pPr>
      <w:r>
        <w:rPr>
          <w:rStyle w:val="FootnoteReference"/>
        </w:rPr>
        <w:footnoteRef/>
      </w:r>
      <w:r>
        <w:t xml:space="preserve"> A </w:t>
      </w:r>
      <w:r w:rsidRPr="002E1CC1">
        <w:t>majority voting interest</w:t>
      </w:r>
      <w:r>
        <w:t xml:space="preserve"> in a company exists where an entity is</w:t>
      </w:r>
      <w:r w:rsidRPr="002E1CC1">
        <w:t xml:space="preserve"> in a position to cast (or control the casting of) more than 50% of the maximum number of votes that might be cast at a general meeting of the company</w:t>
      </w:r>
      <w:r>
        <w:t xml:space="preserve">. </w:t>
      </w:r>
    </w:p>
  </w:footnote>
  <w:footnote w:id="2">
    <w:p w:rsidR="003932C8" w:rsidRDefault="003932C8">
      <w:pPr>
        <w:pStyle w:val="FootnoteText"/>
      </w:pPr>
      <w:r>
        <w:rPr>
          <w:rStyle w:val="FootnoteReference"/>
        </w:rPr>
        <w:footnoteRef/>
      </w:r>
      <w:r>
        <w:t xml:space="preserve"> An company will be </w:t>
      </w:r>
      <w:r w:rsidRPr="002E1CC1">
        <w:t>sufficiently influenced</w:t>
      </w:r>
      <w:r>
        <w:t xml:space="preserve"> if </w:t>
      </w:r>
      <w:r w:rsidRPr="002E1CC1">
        <w:t xml:space="preserve">the company or its directors are accustomed to act in accordance with the directions, instructions or wishes of </w:t>
      </w:r>
      <w:r>
        <w:t>another entity</w:t>
      </w:r>
      <w:r w:rsidRPr="002E1CC1">
        <w:t xml:space="preserve"> or are under an obligation (formal or informal) to do so</w:t>
      </w:r>
      <w:r>
        <w:t xml:space="preserve"> (</w:t>
      </w:r>
      <w:r w:rsidRPr="002E1CC1">
        <w:t>or might reasonably be expected to do so</w:t>
      </w:r>
      <w:r>
        <w:t xml:space="preserve">).  </w:t>
      </w:r>
    </w:p>
  </w:footnote>
  <w:footnote w:id="3">
    <w:p w:rsidR="003932C8" w:rsidRDefault="003932C8">
      <w:pPr>
        <w:pStyle w:val="FootnoteText"/>
      </w:pPr>
      <w:r>
        <w:rPr>
          <w:rStyle w:val="FootnoteReference"/>
        </w:rPr>
        <w:footnoteRef/>
      </w:r>
      <w:r w:rsidR="003C7773">
        <w:t xml:space="preserve"> </w:t>
      </w:r>
      <w:r w:rsidR="004B74DA">
        <w:t>Amending legislation has been passed that introduces</w:t>
      </w:r>
      <w:r>
        <w:t xml:space="preserve">, from 1 April 2016, a grossed-up cap of $5,000 for salary sacrificed </w:t>
      </w:r>
      <w:r w:rsidRPr="00A752B3">
        <w:t>meal entertainment and entertainment facility leasing benefits</w:t>
      </w:r>
      <w:r>
        <w:t xml:space="preserve"> provided to </w:t>
      </w:r>
      <w:r w:rsidRPr="0059382D">
        <w:t>employees of public benevolent institutions, health promotion charities and employees of public and not-for profit-hospitals and public ambulance services</w:t>
      </w:r>
      <w:r>
        <w:t xml:space="preserve"> </w:t>
      </w:r>
      <w:r w:rsidRPr="005D55C9">
        <w:t xml:space="preserve">and </w:t>
      </w:r>
      <w:r>
        <w:t xml:space="preserve">which makes </w:t>
      </w:r>
      <w:r w:rsidRPr="005D55C9">
        <w:t>these benefits reportable</w:t>
      </w:r>
      <w:r>
        <w:t xml:space="preserve"> for FBT purposes. This </w:t>
      </w:r>
      <w:r w:rsidR="003C7773">
        <w:t>means that from 1 April 2016,</w:t>
      </w:r>
      <w:r>
        <w:t xml:space="preserve"> in addition to these </w:t>
      </w:r>
      <w:r w:rsidRPr="00A752B3">
        <w:t>meal entertainment and entertainment facility leasing benefits</w:t>
      </w:r>
      <w:r>
        <w:t xml:space="preserve"> becoming reportable on an employee's annual PAYG payment summary, the maximum that an employee can salary sacrifice free of FBT will be $2,550 per FBT year (pre-gross-up - t</w:t>
      </w:r>
      <w:r w:rsidRPr="006678DD">
        <w:t>his cap is separate from and in addi</w:t>
      </w:r>
      <w:r>
        <w:t xml:space="preserve">tion to the $31,177 general cap). </w:t>
      </w:r>
    </w:p>
  </w:footnote>
  <w:footnote w:id="4">
    <w:p w:rsidR="003932C8" w:rsidRDefault="003932C8">
      <w:pPr>
        <w:pStyle w:val="FootnoteText"/>
      </w:pPr>
      <w:r w:rsidRPr="00DA75ED">
        <w:rPr>
          <w:rStyle w:val="FootnoteReference"/>
        </w:rPr>
        <w:footnoteRef/>
      </w:r>
      <w:r w:rsidRPr="00DA75ED">
        <w:t xml:space="preserve"> This </w:t>
      </w:r>
      <w:r>
        <w:t>cap should decrease to $30,000</w:t>
      </w:r>
      <w:r w:rsidRPr="00DA75ED">
        <w:t xml:space="preserve"> for the </w:t>
      </w:r>
      <w:r>
        <w:t>FBT year commencing on 1 April</w:t>
      </w:r>
      <w:r w:rsidRPr="00DA75ED">
        <w:t xml:space="preserve"> 2017 as the 2% Tempo</w:t>
      </w:r>
      <w:r>
        <w:t>rary Budget Deficit Tax is only proposed to apply for the 2014/2015 to 2016/2017 income years</w:t>
      </w:r>
      <w:r w:rsidRPr="00DA75ED">
        <w:t>.</w:t>
      </w:r>
      <w:r>
        <w:t xml:space="preserve"> </w:t>
      </w:r>
    </w:p>
  </w:footnote>
  <w:footnote w:id="5">
    <w:p w:rsidR="003932C8" w:rsidRDefault="003932C8">
      <w:pPr>
        <w:pStyle w:val="FootnoteText"/>
      </w:pPr>
      <w:r>
        <w:rPr>
          <w:rStyle w:val="FootnoteReference"/>
        </w:rPr>
        <w:footnoteRef/>
      </w:r>
      <w:r>
        <w:t xml:space="preserve"> The gross-up rate for the FBT year commencing 1 April 2015 (and ending 31 March 2016) for type 1 benefits is calculated as (</w:t>
      </w:r>
      <w:r w:rsidRPr="00ED13D8">
        <w:t>FBT rate + GST rate</w:t>
      </w:r>
      <w:r>
        <w:t xml:space="preserve">)  / ((1 – FBT rate) * (1 + GST rate) * FBT rate). As the FBT rate is equal to the </w:t>
      </w:r>
      <w:r w:rsidRPr="00ED13D8">
        <w:t>highest marginal income tax rate</w:t>
      </w:r>
      <w:r>
        <w:t xml:space="preserve">, currently 49% (including the Medicare levy and the 2% Temporary Budget Deficit Tax), this means that the gross-up rate is calculated as (0.59) / ((1 – 0.49) * 1.1 * 0.49) = 2.1463. The gross-up rate should decrease to 2.0802 from the FBT year commencing on 1 April 2017 as the 2% </w:t>
      </w:r>
      <w:r w:rsidRPr="000B31B8">
        <w:t xml:space="preserve">Temporary Budget Deficit Tax </w:t>
      </w:r>
      <w:r>
        <w:t xml:space="preserve">measure is only proposed to apply </w:t>
      </w:r>
      <w:r w:rsidRPr="00D21401">
        <w:t>in the 2014/2015 to 2016/2017 income years</w:t>
      </w:r>
      <w:r>
        <w:t xml:space="preserve">. </w:t>
      </w:r>
    </w:p>
  </w:footnote>
  <w:footnote w:id="6">
    <w:p w:rsidR="003932C8" w:rsidRDefault="003932C8">
      <w:pPr>
        <w:pStyle w:val="FootnoteText"/>
      </w:pPr>
      <w:r>
        <w:rPr>
          <w:rStyle w:val="FootnoteReference"/>
        </w:rPr>
        <w:footnoteRef/>
      </w:r>
      <w:r>
        <w:t xml:space="preserve"> </w:t>
      </w:r>
      <w:r w:rsidRPr="00F67AC9">
        <w:t>The gross-up rate</w:t>
      </w:r>
      <w:r>
        <w:t xml:space="preserve"> </w:t>
      </w:r>
      <w:r w:rsidRPr="00190BE1">
        <w:t xml:space="preserve">for the </w:t>
      </w:r>
      <w:r>
        <w:t>FBT year commencing 1 April 2015 (and ending 31 March 2016)</w:t>
      </w:r>
      <w:r w:rsidRPr="00190BE1">
        <w:t xml:space="preserve"> </w:t>
      </w:r>
      <w:r>
        <w:t xml:space="preserve">for type 2 benefits </w:t>
      </w:r>
      <w:r w:rsidRPr="00F67AC9">
        <w:t>is calculated as 1</w:t>
      </w:r>
      <w:r>
        <w:t xml:space="preserve"> </w:t>
      </w:r>
      <w:r w:rsidRPr="00F67AC9">
        <w:t>/</w:t>
      </w:r>
      <w:r>
        <w:t xml:space="preserve"> </w:t>
      </w:r>
      <w:r w:rsidRPr="00F67AC9">
        <w:t>(1 – hig</w:t>
      </w:r>
      <w:r>
        <w:t>hest marginal income tax rate). T</w:t>
      </w:r>
      <w:r w:rsidRPr="00F67AC9">
        <w:t>he current tax rate of 4</w:t>
      </w:r>
      <w:r>
        <w:t>9</w:t>
      </w:r>
      <w:r w:rsidRPr="00F67AC9">
        <w:t xml:space="preserve">% </w:t>
      </w:r>
      <w:r>
        <w:t xml:space="preserve">(including the Medicare levy and the </w:t>
      </w:r>
      <w:r w:rsidRPr="00E22D84">
        <w:t>2% Temporary Budget Deficit Tax</w:t>
      </w:r>
      <w:r>
        <w:t xml:space="preserve">) </w:t>
      </w:r>
      <w:r w:rsidRPr="00F67AC9">
        <w:t>means that the gross-up rate is calculated as 1/(1 – 0.4</w:t>
      </w:r>
      <w:r>
        <w:t>9</w:t>
      </w:r>
      <w:r w:rsidRPr="00F67AC9">
        <w:t>) = 1.</w:t>
      </w:r>
      <w:r>
        <w:t xml:space="preserve">9608. </w:t>
      </w:r>
      <w:r w:rsidRPr="000B31B8">
        <w:t>The g</w:t>
      </w:r>
      <w:r>
        <w:t>ross-up rate should decrease to 1.8868</w:t>
      </w:r>
      <w:r w:rsidRPr="00E22D84">
        <w:t xml:space="preserve"> from the FBT year commencing on 1 April 2017 as the 2% Temporary Budget Deficit Tax measure is only proposed to apply in the 2014/2015 to 2016/2017 income years</w:t>
      </w:r>
      <w:r>
        <w:t xml:space="preserve">. </w:t>
      </w:r>
    </w:p>
  </w:footnote>
  <w:footnote w:id="7">
    <w:p w:rsidR="003932C8" w:rsidRDefault="003932C8">
      <w:pPr>
        <w:pStyle w:val="FootnoteText"/>
      </w:pPr>
      <w:r>
        <w:rPr>
          <w:rStyle w:val="FootnoteReference"/>
        </w:rPr>
        <w:footnoteRef/>
      </w:r>
      <w:r>
        <w:t xml:space="preserve"> </w:t>
      </w:r>
      <w:r w:rsidR="004B74DA">
        <w:t>Amending legislation has been passed that introduces</w:t>
      </w:r>
      <w:r w:rsidRPr="0059382D">
        <w:t>, from 1 April 2016, a grossed-up cap of $5,000 for</w:t>
      </w:r>
      <w:r>
        <w:t xml:space="preserve"> salary sacrificed</w:t>
      </w:r>
      <w:r w:rsidRPr="0059382D">
        <w:t xml:space="preserve"> meal entertainment and entertainment facility leasing benefits provided to employees of public benevolent institutions, health promotion charities and employees of public and not-for profit</w:t>
      </w:r>
      <w:r>
        <w:t>-hospitals and public ambulance</w:t>
      </w:r>
      <w:r w:rsidRPr="0059382D">
        <w:t xml:space="preserve"> </w:t>
      </w:r>
      <w:r>
        <w:t xml:space="preserve">services </w:t>
      </w:r>
      <w:r w:rsidRPr="0059382D">
        <w:t>and which makes these benefits reportable for FBT purposes. Th</w:t>
      </w:r>
      <w:r w:rsidR="003C7773">
        <w:t>is means that from 1 April 2016</w:t>
      </w:r>
      <w:r w:rsidRPr="0059382D">
        <w:t>, in addition to these meal entertainment and entertainment facility leasing benefits becoming reportable on an employee's annual PAYG payment summary, the maximum that a</w:t>
      </w:r>
      <w:r>
        <w:t>n</w:t>
      </w:r>
      <w:r w:rsidRPr="0059382D">
        <w:t xml:space="preserve"> employee can salary sacrifice free of FBT will be $2,550 per FBT year (pre-gross-up</w:t>
      </w:r>
      <w:r>
        <w:t xml:space="preserve"> - </w:t>
      </w:r>
      <w:r w:rsidRPr="006678DD">
        <w:t>this cap is separate from and in addi</w:t>
      </w:r>
      <w:r>
        <w:t>tion to the $31,177 general cap</w:t>
      </w:r>
      <w:r w:rsidRPr="0059382D">
        <w:t xml:space="preserve">). </w:t>
      </w:r>
    </w:p>
  </w:footnote>
  <w:footnote w:id="8">
    <w:p w:rsidR="003932C8" w:rsidRDefault="003932C8">
      <w:pPr>
        <w:pStyle w:val="FootnoteText"/>
      </w:pPr>
      <w:r>
        <w:rPr>
          <w:rStyle w:val="FootnoteReference"/>
        </w:rPr>
        <w:footnoteRef/>
      </w:r>
      <w:r>
        <w:t xml:space="preserve"> </w:t>
      </w:r>
      <w:r w:rsidRPr="00290AE9">
        <w:t>This is especially true for employers in the charita</w:t>
      </w:r>
      <w:r>
        <w:t>ble and non-profit sector as there are a</w:t>
      </w:r>
      <w:r w:rsidRPr="00290AE9">
        <w:t xml:space="preserve"> number of </w:t>
      </w:r>
      <w:r>
        <w:t xml:space="preserve">FBT </w:t>
      </w:r>
      <w:r w:rsidRPr="00290AE9">
        <w:t xml:space="preserve">exemptions and concessions </w:t>
      </w:r>
      <w:r>
        <w:t xml:space="preserve">to which they are entitled that are not </w:t>
      </w:r>
      <w:r w:rsidRPr="00290AE9">
        <w:t xml:space="preserve">available to </w:t>
      </w:r>
      <w:r>
        <w:t>ordinary 'taxable' employers (</w:t>
      </w:r>
      <w:r w:rsidRPr="0053638F">
        <w:rPr>
          <w:i/>
        </w:rPr>
        <w:t xml:space="preserve">see headings </w:t>
      </w:r>
      <w:fldSimple w:instr=" REF _Ref411755274 \r \h  \* MERGEFORMAT ">
        <w:r w:rsidR="000419E4">
          <w:rPr>
            <w:i/>
          </w:rPr>
          <w:t>2.10</w:t>
        </w:r>
      </w:fldSimple>
      <w:r w:rsidRPr="0053638F">
        <w:rPr>
          <w:i/>
        </w:rPr>
        <w:t xml:space="preserve"> and </w:t>
      </w:r>
      <w:fldSimple w:instr=" REF _Ref411755285 \r \h  \* MERGEFORMAT ">
        <w:r w:rsidR="000419E4">
          <w:rPr>
            <w:i/>
          </w:rPr>
          <w:t>2.14</w:t>
        </w:r>
      </w:fldSimple>
      <w:r>
        <w:t>)</w:t>
      </w:r>
      <w:r w:rsidRPr="00290AE9">
        <w:t>.</w:t>
      </w:r>
      <w:r>
        <w:t xml:space="preserve"> </w:t>
      </w:r>
    </w:p>
  </w:footnote>
  <w:footnote w:id="9">
    <w:p w:rsidR="003932C8" w:rsidRDefault="003932C8">
      <w:pPr>
        <w:pStyle w:val="FootnoteText"/>
      </w:pPr>
      <w:r>
        <w:rPr>
          <w:rStyle w:val="FootnoteReference"/>
        </w:rPr>
        <w:footnoteRef/>
      </w:r>
      <w:r>
        <w:t xml:space="preserve"> As the 2% Temporary Budget Deficit Tax measure is only proposed to apply in the 2014/2015 to 2016/2017 income years, the FBT rate should revert to 47% from the FBT year commencing on 1 April 2017. </w:t>
      </w:r>
    </w:p>
  </w:footnote>
  <w:footnote w:id="10">
    <w:p w:rsidR="003932C8" w:rsidRDefault="003932C8">
      <w:pPr>
        <w:pStyle w:val="FootnoteText"/>
      </w:pPr>
      <w:r>
        <w:rPr>
          <w:rStyle w:val="FootnoteReference"/>
        </w:rPr>
        <w:footnoteRef/>
      </w:r>
      <w:r>
        <w:t xml:space="preserve">  There is an exception to this principle for certain types of fringe benefits where the employee provides the employer with a contribution </w:t>
      </w:r>
      <w:r w:rsidRPr="007C2573">
        <w:t xml:space="preserve">equal to the FBT taxable value of </w:t>
      </w:r>
      <w:r>
        <w:t>the relevant fringe</w:t>
      </w:r>
      <w:r w:rsidRPr="007C2573">
        <w:t xml:space="preserve"> benefit </w:t>
      </w:r>
      <w:r>
        <w:t xml:space="preserve">as no FBT will be payable in that situation (because the contribution from the employee's after-tax salary and wages will reduce the taxable value of the fringe benefit to nil). </w:t>
      </w:r>
    </w:p>
  </w:footnote>
  <w:footnote w:id="11">
    <w:p w:rsidR="003932C8" w:rsidRDefault="003932C8">
      <w:pPr>
        <w:pStyle w:val="FootnoteText"/>
      </w:pPr>
      <w:r>
        <w:rPr>
          <w:rStyle w:val="FootnoteReference"/>
        </w:rPr>
        <w:footnoteRef/>
      </w:r>
      <w:r>
        <w:t xml:space="preserve"> I</w:t>
      </w:r>
      <w:r w:rsidRPr="00521D22">
        <w:t xml:space="preserve">n some cases </w:t>
      </w:r>
      <w:r>
        <w:t xml:space="preserve">the employer </w:t>
      </w:r>
      <w:r w:rsidRPr="00521D22">
        <w:t xml:space="preserve">must obtain from the employee a declaration </w:t>
      </w:r>
      <w:r>
        <w:t xml:space="preserve">in the approved form </w:t>
      </w:r>
      <w:r w:rsidRPr="00521D22">
        <w:t>substantiating the income producing nature of the benef</w:t>
      </w:r>
      <w:r>
        <w:t xml:space="preserve">it. </w:t>
      </w:r>
    </w:p>
  </w:footnote>
  <w:footnote w:id="12">
    <w:p w:rsidR="003932C8" w:rsidRDefault="003932C8" w:rsidP="000319B2">
      <w:pPr>
        <w:pStyle w:val="FootnoteText"/>
      </w:pPr>
      <w:r>
        <w:rPr>
          <w:rStyle w:val="FootnoteReference"/>
        </w:rPr>
        <w:footnoteRef/>
      </w:r>
      <w:r>
        <w:t xml:space="preserve"> Apart from a</w:t>
      </w:r>
      <w:r w:rsidRPr="00491E62">
        <w:t xml:space="preserve"> tax-exempt bo</w:t>
      </w:r>
      <w:r>
        <w:t xml:space="preserve">dy entertainment fringe benefit, there is no general category of fringe benefit called an entertainment fringe benefit, however, the following types of fringe benefits may arise from providing entertainment: </w:t>
      </w:r>
    </w:p>
    <w:p w:rsidR="003932C8" w:rsidRDefault="003932C8" w:rsidP="000319B2">
      <w:pPr>
        <w:pStyle w:val="FootnoteText"/>
      </w:pPr>
      <w:r>
        <w:t>•</w:t>
      </w:r>
      <w:r>
        <w:tab/>
        <w:t>expense payment fringe benefit – employer reimburses employee for cost of theatre tickets that employee purchased;</w:t>
      </w:r>
    </w:p>
    <w:p w:rsidR="003932C8" w:rsidRDefault="003932C8" w:rsidP="000319B2">
      <w:pPr>
        <w:pStyle w:val="FootnoteText"/>
      </w:pPr>
      <w:r>
        <w:t>•</w:t>
      </w:r>
      <w:r>
        <w:tab/>
        <w:t>property fringe benefit - providing food and drink; or</w:t>
      </w:r>
    </w:p>
    <w:p w:rsidR="003932C8" w:rsidRDefault="003932C8" w:rsidP="000319B2">
      <w:pPr>
        <w:pStyle w:val="FootnoteText"/>
      </w:pPr>
      <w:r>
        <w:t>•</w:t>
      </w:r>
      <w:r>
        <w:tab/>
        <w:t>residual fringe benefit - providing accommodation or transport in connection with entertainment.</w:t>
      </w:r>
    </w:p>
  </w:footnote>
  <w:footnote w:id="13">
    <w:p w:rsidR="003932C8" w:rsidRDefault="003932C8">
      <w:pPr>
        <w:pStyle w:val="FootnoteText"/>
      </w:pPr>
      <w:r>
        <w:rPr>
          <w:rStyle w:val="FootnoteReference"/>
        </w:rPr>
        <w:footnoteRef/>
      </w:r>
      <w:r>
        <w:t xml:space="preserve"> Provided that the contributions made to do not exceed the employee's concessional contributions cap, the benefit to the employee is that the contributions to the complying superannuation fund are taxed at the rate of 15% (compared with tax at the employee's marginal rate if the employee did not sacrifice part of their salary and wages), however, as these contributions </w:t>
      </w:r>
      <w:r w:rsidRPr="00723309">
        <w:t>generally cannot be accessed by the employee until retirement</w:t>
      </w:r>
      <w:r>
        <w:t xml:space="preserve">, whether this strategy is suitable for an employee depends upon their own particular circumstances and is an issue that the employee should discuss with their financial advisor.   </w:t>
      </w:r>
    </w:p>
  </w:footnote>
  <w:footnote w:id="14">
    <w:p w:rsidR="003932C8" w:rsidRDefault="003932C8">
      <w:pPr>
        <w:pStyle w:val="FootnoteText"/>
      </w:pPr>
      <w:r>
        <w:rPr>
          <w:rStyle w:val="FootnoteReference"/>
        </w:rPr>
        <w:footnoteRef/>
      </w:r>
      <w:r>
        <w:t xml:space="preserve"> The</w:t>
      </w:r>
      <w:r w:rsidRPr="005D6527">
        <w:t xml:space="preserve"> fringe benefits taxable amount of a qualifying public or non-profit hospital, public ambulance service or health promotion charity is calculated in the same way except that  the cap is only $17,</w:t>
      </w:r>
      <w:r>
        <w:t>667</w:t>
      </w:r>
      <w:r w:rsidRPr="005D6527">
        <w:t xml:space="preserve">. </w:t>
      </w:r>
      <w:r>
        <w:t>The caps should decrease to $30.000 (for a PBI) and $17,000 for the FBT year commencing on 1 April 2017 as the</w:t>
      </w:r>
      <w:r w:rsidRPr="00FE2825">
        <w:t xml:space="preserve"> 2% Temporary Budget Deficit Tax measure </w:t>
      </w:r>
      <w:r>
        <w:t xml:space="preserve">is only proposed </w:t>
      </w:r>
      <w:r w:rsidRPr="005323E6">
        <w:t>to apply in the 2014/2015 to 2016/2017 income years</w:t>
      </w:r>
      <w:r>
        <w:t xml:space="preserve">. </w:t>
      </w:r>
    </w:p>
  </w:footnote>
  <w:footnote w:id="15">
    <w:p w:rsidR="003932C8" w:rsidRDefault="003932C8">
      <w:pPr>
        <w:pStyle w:val="FootnoteText"/>
      </w:pPr>
      <w:r>
        <w:rPr>
          <w:rStyle w:val="FootnoteReference"/>
        </w:rPr>
        <w:footnoteRef/>
      </w:r>
      <w:r>
        <w:t xml:space="preserve"> The formula to calculate the aggregate non-exempt amount excludes certain non-reportable fringe benefits – </w:t>
      </w:r>
      <w:r w:rsidRPr="0053638F">
        <w:rPr>
          <w:i/>
        </w:rPr>
        <w:t xml:space="preserve">see heading </w:t>
      </w:r>
      <w:fldSimple w:instr=" REF _Ref411758766 \r \h  \* MERGEFORMAT ">
        <w:r w:rsidR="000419E4">
          <w:rPr>
            <w:i/>
          </w:rPr>
          <w:t>2.14</w:t>
        </w:r>
      </w:fldSimple>
      <w:r>
        <w:t xml:space="preserve">. </w:t>
      </w:r>
    </w:p>
  </w:footnote>
  <w:footnote w:id="16">
    <w:p w:rsidR="003932C8" w:rsidRDefault="003932C8">
      <w:pPr>
        <w:pStyle w:val="FootnoteText"/>
      </w:pPr>
      <w:r>
        <w:rPr>
          <w:rStyle w:val="FootnoteReference"/>
        </w:rPr>
        <w:footnoteRef/>
      </w:r>
      <w:r>
        <w:t xml:space="preserve"> The e</w:t>
      </w:r>
      <w:r w:rsidRPr="00853348">
        <w:t xml:space="preserve">mployer provides </w:t>
      </w:r>
      <w:r>
        <w:t xml:space="preserve">the employee with an </w:t>
      </w:r>
      <w:r w:rsidRPr="00853348">
        <w:t xml:space="preserve">expense </w:t>
      </w:r>
      <w:r>
        <w:t xml:space="preserve">payment fringe benefit (ie, </w:t>
      </w:r>
      <w:r w:rsidRPr="00853348">
        <w:t>employee sacr</w:t>
      </w:r>
      <w:r>
        <w:t>ifices $15,900 of salary and employer reimburses</w:t>
      </w:r>
      <w:r w:rsidRPr="00853348">
        <w:t xml:space="preserve"> employee an equivalent amount </w:t>
      </w:r>
      <w:r>
        <w:t>in respect of, for instance,</w:t>
      </w:r>
      <w:r w:rsidRPr="00853348">
        <w:t xml:space="preserve"> employee's housing loan repayments)</w:t>
      </w:r>
      <w:r>
        <w:t>.</w:t>
      </w:r>
    </w:p>
  </w:footnote>
  <w:footnote w:id="17">
    <w:p w:rsidR="003932C8" w:rsidRDefault="003932C8">
      <w:pPr>
        <w:pStyle w:val="FootnoteText"/>
      </w:pPr>
      <w:r>
        <w:rPr>
          <w:rStyle w:val="FootnoteReference"/>
        </w:rPr>
        <w:footnoteRef/>
      </w:r>
      <w:r>
        <w:t xml:space="preserve"> </w:t>
      </w:r>
      <w:r w:rsidRPr="00AA72E3">
        <w:t>More specifically, a benefit provided in respect of the employment of an employee is an exempt benefit (up to the relevant yearly cap) where the employer is both registered</w:t>
      </w:r>
      <w:r>
        <w:t xml:space="preserve"> with the ACNC as a charity</w:t>
      </w:r>
      <w:r w:rsidRPr="00AA72E3">
        <w:t xml:space="preserve"> </w:t>
      </w:r>
      <w:r>
        <w:t xml:space="preserve">and as a PBI </w:t>
      </w:r>
      <w:r w:rsidRPr="00AA72E3">
        <w:t xml:space="preserve">and </w:t>
      </w:r>
      <w:r>
        <w:t xml:space="preserve">is </w:t>
      </w:r>
      <w:r w:rsidRPr="00AA72E3">
        <w:t xml:space="preserve">endorsed </w:t>
      </w:r>
      <w:r>
        <w:t xml:space="preserve">by the Commissioner of Taxation </w:t>
      </w:r>
      <w:r w:rsidRPr="00AA72E3">
        <w:t xml:space="preserve">as a registered </w:t>
      </w:r>
      <w:r>
        <w:t>PBI. However, these registration and endorsement requirements may change in the future because, as at the date of this booklet, a bill is before parliament (</w:t>
      </w:r>
      <w:r w:rsidRPr="00A005C2">
        <w:rPr>
          <w:i/>
        </w:rPr>
        <w:t>Australian Charities and Not-for-profits Commission (Repeal) (No. 1) Bill 2014</w:t>
      </w:r>
      <w:r>
        <w:t>) which, if passed, will abolish the ACNC.</w:t>
      </w:r>
      <w:r w:rsidRPr="00CB7621">
        <w:t xml:space="preserve"> </w:t>
      </w:r>
    </w:p>
  </w:footnote>
  <w:footnote w:id="18">
    <w:p w:rsidR="003932C8" w:rsidRDefault="003932C8">
      <w:pPr>
        <w:pStyle w:val="FootnoteText"/>
      </w:pPr>
      <w:r>
        <w:rPr>
          <w:rStyle w:val="FootnoteReference"/>
        </w:rPr>
        <w:footnoteRef/>
      </w:r>
      <w:r>
        <w:t xml:space="preserve"> As </w:t>
      </w:r>
      <w:r w:rsidRPr="00084D2A">
        <w:t>the 2% Temporary Budget Deficit Tax measure</w:t>
      </w:r>
      <w:r>
        <w:t xml:space="preserve"> is only proposed to apply for the 2014/15 to 2016/17 income years, the rebate should decrease to 47% of the gross FBT payable for the FBT year commencing on 1 April 2017 (and the capping threshold should reduce to $30,000). </w:t>
      </w:r>
    </w:p>
  </w:footnote>
  <w:footnote w:id="19">
    <w:p w:rsidR="003932C8" w:rsidRDefault="003932C8">
      <w:pPr>
        <w:pStyle w:val="FootnoteText"/>
      </w:pPr>
      <w:r>
        <w:rPr>
          <w:rStyle w:val="FootnoteReference"/>
        </w:rPr>
        <w:footnoteRef/>
      </w:r>
      <w:r>
        <w:t xml:space="preserve"> </w:t>
      </w:r>
      <w:r w:rsidR="004B74DA">
        <w:t>Amending legislation has been passed that introduces</w:t>
      </w:r>
      <w:r w:rsidRPr="004D5161">
        <w:t xml:space="preserve">, from 1 April 2016, a grossed-up cap of $5,000 for </w:t>
      </w:r>
      <w:r>
        <w:t xml:space="preserve">salary sacrificed </w:t>
      </w:r>
      <w:r w:rsidRPr="004D5161">
        <w:t>meal entertainment and entertainment facility leasing benefits provided to employees of public benevolent institutions, health promotion charities and employees of public and not-for profit-hospitals and public ambulance services and which makes these benefits reportable for FBT purposes. Th</w:t>
      </w:r>
      <w:r w:rsidR="003C7773">
        <w:t>is means that from 1 April 2016</w:t>
      </w:r>
      <w:r w:rsidRPr="004D5161">
        <w:t>, in addition to these meal entertainment and entertainment facility leasing benefits becoming reportable on an employee's annual PAYG paym</w:t>
      </w:r>
      <w:r>
        <w:t xml:space="preserve">ent summary, the maximum that an </w:t>
      </w:r>
      <w:r w:rsidRPr="004D5161">
        <w:t>employee can salary sacrifice free of FBT will be $2,550 per FBT year (pre-gross-up - this cap is separate from and in addition to the $3</w:t>
      </w:r>
      <w:r>
        <w:t>1,177</w:t>
      </w:r>
      <w:r w:rsidRPr="004D5161">
        <w:t xml:space="preserve"> general cap)</w:t>
      </w:r>
      <w:r w:rsidR="002813F8">
        <w:t xml:space="preserve">. </w:t>
      </w:r>
    </w:p>
  </w:footnote>
  <w:footnote w:id="20">
    <w:p w:rsidR="003932C8" w:rsidRDefault="003932C8">
      <w:pPr>
        <w:pStyle w:val="FootnoteText"/>
      </w:pPr>
      <w:r>
        <w:rPr>
          <w:rStyle w:val="FootnoteReference"/>
        </w:rPr>
        <w:footnoteRef/>
      </w:r>
      <w:r>
        <w:t xml:space="preserve"> T</w:t>
      </w:r>
      <w:r w:rsidRPr="0050783C">
        <w:t xml:space="preserve">hese </w:t>
      </w:r>
      <w:r>
        <w:t xml:space="preserve">excluded fringe </w:t>
      </w:r>
      <w:r w:rsidRPr="0050783C">
        <w:t>benefits are still subject to FBT except for certain benefits that are provided by</w:t>
      </w:r>
      <w:r>
        <w:t xml:space="preserve"> an employer that is a</w:t>
      </w:r>
      <w:r w:rsidRPr="0050783C">
        <w:t xml:space="preserve"> </w:t>
      </w:r>
      <w:r>
        <w:t xml:space="preserve">PBI </w:t>
      </w:r>
      <w:r w:rsidRPr="0050783C">
        <w:t xml:space="preserve">– </w:t>
      </w:r>
      <w:r w:rsidRPr="0099684D">
        <w:rPr>
          <w:i/>
        </w:rPr>
        <w:t xml:space="preserve">see heading </w:t>
      </w:r>
      <w:fldSimple w:instr=" REF _Ref411761517 \r \h  \* MERGEFORMAT ">
        <w:r w:rsidR="000419E4">
          <w:rPr>
            <w:i/>
          </w:rPr>
          <w:t>2.14</w:t>
        </w:r>
      </w:fldSimple>
      <w:r>
        <w:t>.</w:t>
      </w:r>
    </w:p>
  </w:footnote>
  <w:footnote w:id="21">
    <w:p w:rsidR="003932C8" w:rsidRDefault="003932C8">
      <w:pPr>
        <w:pStyle w:val="FootnoteText"/>
      </w:pPr>
      <w:r>
        <w:rPr>
          <w:rStyle w:val="FootnoteReference"/>
        </w:rPr>
        <w:footnoteRef/>
      </w:r>
      <w:r>
        <w:t xml:space="preserve"> In other words, although the employer does not need to pay FBT when it provides exempt benefits to an employee with a grossed-up value below the relevant capping threshold, the notional value of the exempt benefits must still be allocated to that employee and reported on the employee's payment summary for the relevant income year.</w:t>
      </w:r>
    </w:p>
  </w:footnote>
  <w:footnote w:id="22">
    <w:p w:rsidR="003932C8" w:rsidRDefault="003932C8">
      <w:pPr>
        <w:pStyle w:val="FootnoteText"/>
      </w:pPr>
      <w:r>
        <w:rPr>
          <w:rStyle w:val="FootnoteReference"/>
        </w:rPr>
        <w:footnoteRef/>
      </w:r>
      <w:r>
        <w:t xml:space="preserve"> </w:t>
      </w:r>
      <w:r w:rsidR="004B74DA">
        <w:t>Amending legislation has been passed that introduces</w:t>
      </w:r>
      <w:r w:rsidRPr="0006422B">
        <w:t xml:space="preserve">, from 1 April 2016, a grossed-up cap of $5,000 for </w:t>
      </w:r>
      <w:r>
        <w:t xml:space="preserve">salary sacrificed </w:t>
      </w:r>
      <w:r w:rsidRPr="0006422B">
        <w:t xml:space="preserve">meal entertainment and entertainment facility leasing benefits provided to employees of public benevolent institutions, health promotion charities and employees of public and not-for profit-hospitals and public ambulance services and which makes these benefits reportable for FBT purposes. This means that from </w:t>
      </w:r>
      <w:r w:rsidR="003C7773">
        <w:t>1 April 2016</w:t>
      </w:r>
      <w:r w:rsidR="002813F8">
        <w:t>,</w:t>
      </w:r>
      <w:r w:rsidR="003C7773">
        <w:t xml:space="preserve"> </w:t>
      </w:r>
      <w:r w:rsidR="002813F8" w:rsidRPr="002813F8">
        <w:t>in addition to these meal entertainment and entertainment facility leasing benefits becoming reportable on an employee's annual PAYG payment summary, the maximum that an employee can salary sacrifice free of FBT will be $2,550 per FBT year (pre-gross-up - this cap is separate from and in addition to the $31,177 general cap)</w:t>
      </w:r>
      <w:r>
        <w:t xml:space="preserve">. </w:t>
      </w:r>
    </w:p>
  </w:footnote>
  <w:footnote w:id="23">
    <w:p w:rsidR="003932C8" w:rsidRDefault="003932C8">
      <w:pPr>
        <w:pStyle w:val="FootnoteText"/>
      </w:pPr>
      <w:r>
        <w:rPr>
          <w:rStyle w:val="FootnoteReference"/>
        </w:rPr>
        <w:footnoteRef/>
      </w:r>
      <w:r>
        <w:t xml:space="preserve"> </w:t>
      </w:r>
      <w:r w:rsidRPr="00191512">
        <w:t>Th</w:t>
      </w:r>
      <w:r>
        <w:t xml:space="preserve">e Commissioner of Taxation will </w:t>
      </w:r>
      <w:r w:rsidR="003C4480">
        <w:t>accept that the employer</w:t>
      </w:r>
      <w:r w:rsidRPr="00191512">
        <w:t xml:space="preserve"> could pay for an employee to have a meal at a restaurant and that this would be an excluded meal entertainment fringe benefit, however, if </w:t>
      </w:r>
      <w:r w:rsidR="003C4480">
        <w:t>the employer</w:t>
      </w:r>
      <w:r w:rsidRPr="00191512">
        <w:t xml:space="preserve"> reimbursed the employee for the cost of the</w:t>
      </w:r>
      <w:r>
        <w:t xml:space="preserve"> employee's</w:t>
      </w:r>
      <w:r w:rsidRPr="00191512">
        <w:t xml:space="preserve"> groceries or for a bottle of alcohol from a liquor store, that reimbursement would n</w:t>
      </w:r>
      <w:r>
        <w:t xml:space="preserve">ot be an excluded benefit for FBT purposes. </w:t>
      </w:r>
    </w:p>
  </w:footnote>
  <w:footnote w:id="24">
    <w:p w:rsidR="003932C8" w:rsidRDefault="003932C8">
      <w:pPr>
        <w:pStyle w:val="FootnoteText"/>
      </w:pPr>
      <w:r>
        <w:rPr>
          <w:rStyle w:val="FootnoteReference"/>
        </w:rPr>
        <w:footnoteRef/>
      </w:r>
      <w:r>
        <w:t xml:space="preserve"> </w:t>
      </w:r>
      <w:r w:rsidR="004B74DA">
        <w:t>Amending legislation has been passed that introduces</w:t>
      </w:r>
      <w:r w:rsidRPr="00865671">
        <w:t xml:space="preserve">, from 1 April 2016, a grossed-up cap of $5,000 for </w:t>
      </w:r>
      <w:r>
        <w:t xml:space="preserve">salary sacrificed </w:t>
      </w:r>
      <w:r w:rsidRPr="00865671">
        <w:t>meal entertainment and entertainment facility leasing benefits provided to employees of public benevolent institutions, health promotion charities and employees of public and not-for profit-hospitals and public ambulance services and which makes these benefits reportable for FBT purposes. Th</w:t>
      </w:r>
      <w:r w:rsidR="002813F8">
        <w:t>is means that from 1 April 2016</w:t>
      </w:r>
      <w:r w:rsidRPr="00865671">
        <w:t>, in addition to these meal entertainment and entertainment facility leasing benefits becoming reportable on an employee's annual PAYG payme</w:t>
      </w:r>
      <w:r w:rsidR="003C4480">
        <w:t xml:space="preserve">nt summary, the maximum that an </w:t>
      </w:r>
      <w:r w:rsidRPr="00865671">
        <w:t xml:space="preserve">employee can salary sacrifice free of FBT will be $2,550 per FBT year (pre-gross-up - this cap is separate from and in addition to the $31,177 general cap). </w:t>
      </w:r>
    </w:p>
  </w:footnote>
  <w:footnote w:id="25">
    <w:p w:rsidR="003932C8" w:rsidRDefault="003932C8">
      <w:pPr>
        <w:pStyle w:val="FootnoteText"/>
      </w:pPr>
      <w:r>
        <w:rPr>
          <w:rStyle w:val="FootnoteReference"/>
        </w:rPr>
        <w:footnoteRef/>
      </w:r>
      <w:r>
        <w:t xml:space="preserve"> The FBT and tax savings calculations for the examples in headings </w:t>
      </w:r>
      <w:r w:rsidR="007F1357">
        <w:fldChar w:fldCharType="begin"/>
      </w:r>
      <w:r>
        <w:instrText xml:space="preserve"> REF _Ref411950340 \r \h </w:instrText>
      </w:r>
      <w:r w:rsidR="007F1357">
        <w:fldChar w:fldCharType="separate"/>
      </w:r>
      <w:r w:rsidR="000419E4">
        <w:t>3.1</w:t>
      </w:r>
      <w:r w:rsidR="007F1357">
        <w:fldChar w:fldCharType="end"/>
      </w:r>
      <w:r>
        <w:t xml:space="preserve"> and </w:t>
      </w:r>
      <w:r w:rsidR="007F1357">
        <w:fldChar w:fldCharType="begin"/>
      </w:r>
      <w:r>
        <w:instrText xml:space="preserve"> REF _Ref411950345 \r \h </w:instrText>
      </w:r>
      <w:r w:rsidR="007F1357">
        <w:fldChar w:fldCharType="separate"/>
      </w:r>
      <w:r w:rsidR="000419E4">
        <w:t>3.2</w:t>
      </w:r>
      <w:r w:rsidR="007F1357">
        <w:fldChar w:fldCharType="end"/>
      </w:r>
      <w:r>
        <w:t xml:space="preserve"> have been prepared based upon a number of assumptions and the examples are provided for general reference purposes only. An employee should </w:t>
      </w:r>
      <w:r w:rsidRPr="00826EE7">
        <w:t xml:space="preserve">speak with </w:t>
      </w:r>
      <w:r>
        <w:t>a</w:t>
      </w:r>
      <w:r w:rsidRPr="00826EE7">
        <w:t xml:space="preserve"> financial advisor before</w:t>
      </w:r>
      <w:r>
        <w:t xml:space="preserve"> they negotiate a remuneration package with their employer as the employee's individual facts and circumstances need to be considered in order to determine the most appropriate remuneration package for that employee.   </w:t>
      </w:r>
    </w:p>
  </w:footnote>
  <w:footnote w:id="26">
    <w:p w:rsidR="003932C8" w:rsidRDefault="003932C8">
      <w:pPr>
        <w:pStyle w:val="FootnoteText"/>
      </w:pPr>
      <w:r>
        <w:rPr>
          <w:rStyle w:val="FootnoteReference"/>
        </w:rPr>
        <w:footnoteRef/>
      </w:r>
      <w:r>
        <w:t xml:space="preserve"> The 'Income Tax Payable' amount is inclusive of the Medicare Levy less any tax offsets available assuming that the employee has no dependants (including the low income offset/rebate). The 'FBT Exempt Expenditure' amount is the maximum benefit that an employer can provide to an employee without triggering an FBT liability (based upon the $31,177  FBT exemption cap for a PBI). </w:t>
      </w:r>
    </w:p>
  </w:footnote>
  <w:footnote w:id="27">
    <w:p w:rsidR="003932C8" w:rsidRDefault="003932C8">
      <w:pPr>
        <w:pStyle w:val="FootnoteText"/>
      </w:pPr>
      <w:r>
        <w:rPr>
          <w:rStyle w:val="FootnoteReference"/>
        </w:rPr>
        <w:footnoteRef/>
      </w:r>
      <w:r>
        <w:t xml:space="preserve"> </w:t>
      </w:r>
      <w:r w:rsidRPr="00C93C0C">
        <w:t>The actual amount that an employee will save by salary packaging FBT exempt benefits will vary depending upon the amount of FBT exempt expenditure</w:t>
      </w:r>
      <w:r>
        <w:t xml:space="preserve">. </w:t>
      </w:r>
    </w:p>
  </w:footnote>
  <w:footnote w:id="28">
    <w:p w:rsidR="003932C8" w:rsidRDefault="003932C8">
      <w:pPr>
        <w:pStyle w:val="FootnoteText"/>
      </w:pPr>
      <w:r>
        <w:rPr>
          <w:rStyle w:val="FootnoteReference"/>
        </w:rPr>
        <w:footnoteRef/>
      </w:r>
      <w:r>
        <w:t xml:space="preserve"> </w:t>
      </w:r>
      <w:r w:rsidRPr="006E7940">
        <w:t>The 'Income Tax Payable'  amount is inclusive of the Medicare Levy less any tax offsets available assuming that the employee has no dependants (including the low income offset/rebate). The 'FBT Exempt Expenditure' amount is the maximum benefit that an employer can provide to an employee without triggering an FBT liability (based upon the $3</w:t>
      </w:r>
      <w:r>
        <w:t xml:space="preserve">1,177 </w:t>
      </w:r>
      <w:r w:rsidRPr="006E7940">
        <w:t xml:space="preserve">FBT exemption cap for a PBI). </w:t>
      </w:r>
    </w:p>
  </w:footnote>
  <w:footnote w:id="29">
    <w:p w:rsidR="003932C8" w:rsidRDefault="003932C8">
      <w:pPr>
        <w:pStyle w:val="FootnoteText"/>
      </w:pPr>
      <w:r>
        <w:rPr>
          <w:rStyle w:val="FootnoteReference"/>
        </w:rPr>
        <w:footnoteRef/>
      </w:r>
      <w:r>
        <w:t xml:space="preserve"> </w:t>
      </w:r>
      <w:r w:rsidRPr="00C93C0C">
        <w:t>The actual amount that an employee will save by salary packaging FBT exempt benefits will vary depending upon the amount of FBT exempt expenditure</w:t>
      </w:r>
      <w:r>
        <w:t xml:space="preserve">. </w:t>
      </w:r>
    </w:p>
  </w:footnote>
  <w:footnote w:id="30">
    <w:p w:rsidR="003932C8" w:rsidRDefault="003932C8">
      <w:pPr>
        <w:pStyle w:val="FootnoteText"/>
      </w:pPr>
      <w:r>
        <w:rPr>
          <w:rStyle w:val="FootnoteReference"/>
        </w:rPr>
        <w:footnoteRef/>
      </w:r>
      <w:r>
        <w:t xml:space="preserve"> There are a variety </w:t>
      </w:r>
      <w:r w:rsidRPr="00903753">
        <w:t>of factors</w:t>
      </w:r>
      <w:r>
        <w:t xml:space="preserve"> (</w:t>
      </w:r>
      <w:r w:rsidRPr="00633D98">
        <w:t xml:space="preserve">including </w:t>
      </w:r>
      <w:r>
        <w:t>the employee's</w:t>
      </w:r>
      <w:r w:rsidRPr="00633D98">
        <w:t xml:space="preserve"> marginal rate of income tax</w:t>
      </w:r>
      <w:r>
        <w:t>)</w:t>
      </w:r>
      <w:r w:rsidRPr="00633D98">
        <w:t xml:space="preserve"> </w:t>
      </w:r>
      <w:r>
        <w:t>that an employee must consider before they agree with their employer to replace</w:t>
      </w:r>
      <w:r w:rsidRPr="00903753">
        <w:t xml:space="preserve"> some of </w:t>
      </w:r>
      <w:r>
        <w:t>their</w:t>
      </w:r>
      <w:r w:rsidRPr="00903753">
        <w:t xml:space="preserve"> salary and wages w</w:t>
      </w:r>
      <w:r>
        <w:t>ith non-cash benefits that are t</w:t>
      </w:r>
      <w:r w:rsidRPr="00903753">
        <w:t xml:space="preserve">axed concessionally for FBT purposes </w:t>
      </w:r>
      <w:r>
        <w:t>(</w:t>
      </w:r>
      <w:r w:rsidRPr="00903753">
        <w:t xml:space="preserve">such as where </w:t>
      </w:r>
      <w:r>
        <w:t>an</w:t>
      </w:r>
      <w:r w:rsidRPr="00903753">
        <w:t xml:space="preserve"> employer provides </w:t>
      </w:r>
      <w:r>
        <w:t>the employee with</w:t>
      </w:r>
      <w:r w:rsidRPr="00903753">
        <w:t xml:space="preserve"> a car</w:t>
      </w:r>
      <w:r>
        <w:t>), and the employee should speak with a financial advisor</w:t>
      </w:r>
      <w:r w:rsidRPr="00903753">
        <w:t xml:space="preserve"> before </w:t>
      </w:r>
      <w:r>
        <w:t xml:space="preserve">agreeing to do </w:t>
      </w:r>
      <w:r w:rsidRPr="00903753">
        <w:t xml:space="preserve">so. </w:t>
      </w:r>
    </w:p>
  </w:footnote>
  <w:footnote w:id="31">
    <w:p w:rsidR="003932C8" w:rsidRDefault="003932C8">
      <w:pPr>
        <w:pStyle w:val="FootnoteText"/>
      </w:pPr>
      <w:r>
        <w:rPr>
          <w:rStyle w:val="FootnoteReference"/>
        </w:rPr>
        <w:footnoteRef/>
      </w:r>
      <w:r>
        <w:t xml:space="preserve"> The taxable value of the fringe benefits must be grossed-up for FBT purposes. There are 2 gross-up formulae depending upon the GST treatment to the employer of the type of benefit provided. Using the housing loan repayment example, the gross-up factor is 1.9608 and, accordingly, an employer that is a PBI can provide an employee with a fringe benefit having a taxable value of $15,900 (ie, repaying the employee's loan) without the employer having an FBT liability (ie, $15,900 * 1.9608 = $31,177).  </w:t>
      </w:r>
    </w:p>
  </w:footnote>
  <w:footnote w:id="32">
    <w:p w:rsidR="003932C8" w:rsidRDefault="003932C8">
      <w:pPr>
        <w:pStyle w:val="FootnoteText"/>
      </w:pPr>
      <w:r>
        <w:rPr>
          <w:rStyle w:val="FootnoteReference"/>
        </w:rPr>
        <w:footnoteRef/>
      </w:r>
      <w:r>
        <w:t xml:space="preserve"> </w:t>
      </w:r>
      <w:r w:rsidR="004B74DA">
        <w:t>Amending legislation has been passed that introduces</w:t>
      </w:r>
      <w:r w:rsidRPr="008C4628">
        <w:t xml:space="preserve">, from 1 April 2016, a grossed-up cap of $5,000 for salary sacrificed meal entertainment and entertainment facility leasing benefits provided to employees of public benevolent </w:t>
      </w:r>
      <w:r>
        <w:t>institutions</w:t>
      </w:r>
      <w:r w:rsidRPr="008C4628">
        <w:t xml:space="preserve"> and which makes these benefits reportable for FBT purposes. Th</w:t>
      </w:r>
      <w:r w:rsidR="002813F8">
        <w:t>is means that from 1 April 2016</w:t>
      </w:r>
      <w:r w:rsidRPr="008C4628">
        <w:t>, in addition to these meal entertainment and entertainment facility leasing benefits becoming reportable on an employee's annual PAYG payment summary, the maximum that a</w:t>
      </w:r>
      <w:r w:rsidR="008A7251">
        <w:t xml:space="preserve">n </w:t>
      </w:r>
      <w:r w:rsidRPr="008C4628">
        <w:t xml:space="preserve">employee can salary sacrifice free of FBT will be $2,550 per FBT year (pre-gross-up - this cap is separate from and in addition to the $31,177 general cap). </w:t>
      </w:r>
    </w:p>
  </w:footnote>
  <w:footnote w:id="33">
    <w:p w:rsidR="003932C8" w:rsidRDefault="003932C8">
      <w:pPr>
        <w:pStyle w:val="FootnoteText"/>
      </w:pPr>
      <w:r>
        <w:rPr>
          <w:rStyle w:val="FootnoteReference"/>
        </w:rPr>
        <w:footnoteRef/>
      </w:r>
      <w:r>
        <w:t xml:space="preserve"> </w:t>
      </w:r>
      <w:r w:rsidRPr="00C93C0C">
        <w:t>The FBT and tax saving calculations have been prepared based upon a number of assumptions and the example</w:t>
      </w:r>
      <w:r>
        <w:t xml:space="preserve"> is </w:t>
      </w:r>
      <w:r w:rsidRPr="00C93C0C">
        <w:t xml:space="preserve">provided for general reference purposes only. </w:t>
      </w:r>
      <w:r>
        <w:t>You</w:t>
      </w:r>
      <w:r w:rsidRPr="00C93C0C">
        <w:t xml:space="preserve"> should speak w</w:t>
      </w:r>
      <w:r>
        <w:t>ith a financial advisor before negotiating</w:t>
      </w:r>
      <w:r w:rsidRPr="00C93C0C">
        <w:t xml:space="preserve"> a remuneration package with </w:t>
      </w:r>
      <w:r>
        <w:t>your</w:t>
      </w:r>
      <w:r w:rsidRPr="00C93C0C">
        <w:t xml:space="preserve"> employer </w:t>
      </w:r>
      <w:r>
        <w:t>as your i</w:t>
      </w:r>
      <w:r w:rsidRPr="00C93C0C">
        <w:t>ndividual facts and circumstances need to be considered in order to determine the most a</w:t>
      </w:r>
      <w:r>
        <w:t xml:space="preserve">ppropriate remuneration package. </w:t>
      </w:r>
    </w:p>
  </w:footnote>
  <w:footnote w:id="34">
    <w:p w:rsidR="003932C8" w:rsidRDefault="003932C8">
      <w:pPr>
        <w:pStyle w:val="FootnoteText"/>
      </w:pPr>
      <w:r>
        <w:rPr>
          <w:rStyle w:val="FootnoteReference"/>
        </w:rPr>
        <w:footnoteRef/>
      </w:r>
      <w:r>
        <w:t xml:space="preserve"> </w:t>
      </w:r>
      <w:r w:rsidRPr="00C93C0C">
        <w:t>The 'Income Tax Payable'  amount is inclusive of the Medicare Levy less any tax offsets available assuming that the employee has no dependants (including the low income offset/rebate). The 'FBT Exempt Expenditure' amount is the maximum benefit that an employer can provide to an employee without triggering an F</w:t>
      </w:r>
      <w:r>
        <w:t>BT liability (based upon the $31,177</w:t>
      </w:r>
      <w:r w:rsidRPr="00C93C0C">
        <w:t xml:space="preserve">  FBT exemption cap for a PBI). </w:t>
      </w:r>
    </w:p>
  </w:footnote>
  <w:footnote w:id="35">
    <w:p w:rsidR="003932C8" w:rsidRDefault="003932C8">
      <w:pPr>
        <w:pStyle w:val="FootnoteText"/>
      </w:pPr>
      <w:r>
        <w:rPr>
          <w:rStyle w:val="FootnoteReference"/>
        </w:rPr>
        <w:footnoteRef/>
      </w:r>
      <w:r>
        <w:t xml:space="preserve"> The actual amount that an employee will save by salary packaging FBT exempt benefits will vary depending upon the amount of FBT exempt expenditure. </w:t>
      </w:r>
    </w:p>
  </w:footnote>
  <w:footnote w:id="36">
    <w:p w:rsidR="003932C8" w:rsidRDefault="003932C8" w:rsidP="009319D9">
      <w:pPr>
        <w:pStyle w:val="FootnoteText"/>
      </w:pPr>
      <w:r>
        <w:rPr>
          <w:rStyle w:val="FootnoteReference"/>
        </w:rPr>
        <w:footnoteRef/>
      </w:r>
      <w:r>
        <w:t xml:space="preserve"> For simplicity, this summary of the 12 categories of fringe benefits refers to benefits that employers provide to employees, however, as explained  in heading </w:t>
      </w:r>
      <w:r w:rsidR="007F1357">
        <w:fldChar w:fldCharType="begin"/>
      </w:r>
      <w:r>
        <w:instrText xml:space="preserve"> REF _Ref411950231 \r \h </w:instrText>
      </w:r>
      <w:r w:rsidR="007F1357">
        <w:fldChar w:fldCharType="separate"/>
      </w:r>
      <w:r w:rsidR="000419E4">
        <w:t>2.1</w:t>
      </w:r>
      <w:r w:rsidR="007F1357">
        <w:fldChar w:fldCharType="end"/>
      </w:r>
      <w:r>
        <w:t>, an employer will be liable to pay FBT in relation to benefits provided in respect of an employee's employment regardless of whether that benefit is provided:</w:t>
      </w:r>
    </w:p>
    <w:p w:rsidR="003932C8" w:rsidRDefault="003932C8" w:rsidP="009319D9">
      <w:pPr>
        <w:pStyle w:val="FootnoteText"/>
      </w:pPr>
      <w:r>
        <w:t>•</w:t>
      </w:r>
      <w:r>
        <w:tab/>
        <w:t xml:space="preserve">by the employer, an associate of the employer or under an arrangement that the employer has with a third party; or  </w:t>
      </w:r>
    </w:p>
    <w:p w:rsidR="003932C8" w:rsidRDefault="003932C8" w:rsidP="009319D9">
      <w:pPr>
        <w:pStyle w:val="FootnoteText"/>
      </w:pPr>
      <w:r>
        <w:t>•</w:t>
      </w:r>
      <w:r>
        <w:tab/>
        <w:t xml:space="preserve">to the employee or an associate of that employee. </w:t>
      </w:r>
    </w:p>
  </w:footnote>
  <w:footnote w:id="37">
    <w:p w:rsidR="003932C8" w:rsidRDefault="003932C8">
      <w:pPr>
        <w:pStyle w:val="FootnoteText"/>
      </w:pPr>
      <w:r>
        <w:rPr>
          <w:rStyle w:val="FootnoteReference"/>
        </w:rPr>
        <w:footnoteRef/>
      </w:r>
      <w:r>
        <w:t xml:space="preserve"> The draft legislation released for public comment relating to meal entertainment and entertainment facility leasing benefits proposes limiting this concession to meal entertainment that is </w:t>
      </w:r>
      <w:r w:rsidRPr="007A7F69">
        <w:rPr>
          <w:b/>
        </w:rPr>
        <w:t>not</w:t>
      </w:r>
      <w:r>
        <w:t xml:space="preserve"> provided under a salary sacrifice arrangement. </w:t>
      </w:r>
    </w:p>
  </w:footnote>
  <w:footnote w:id="38">
    <w:p w:rsidR="003932C8" w:rsidRDefault="003932C8">
      <w:pPr>
        <w:pStyle w:val="FootnoteText"/>
      </w:pPr>
      <w:r>
        <w:rPr>
          <w:rStyle w:val="FootnoteReference"/>
        </w:rPr>
        <w:footnoteRef/>
      </w:r>
      <w:r>
        <w:t xml:space="preserve"> </w:t>
      </w:r>
      <w:r w:rsidR="002813F8">
        <w:t>Amending</w:t>
      </w:r>
      <w:r w:rsidR="004B74DA">
        <w:t xml:space="preserve"> legislation has been passed that introduces</w:t>
      </w:r>
      <w:r w:rsidRPr="008F3B07">
        <w:t xml:space="preserve">, from 1 April 2016, a grossed-up cap of $5,000 for salary sacrificed meal entertainment and entertainment facility leasing benefits provided to employees of public benevolent institutions, health promotion charities and employees of public and not-for profit-hospitals and public ambulance services and which makes these benefits reportable for FBT purposes. This means that from 1 </w:t>
      </w:r>
      <w:r w:rsidR="002813F8">
        <w:t>April 2016</w:t>
      </w:r>
      <w:r w:rsidRPr="008F3B07">
        <w:t>, in addition to these meal entertainment and entertainment facility leasing benefits becoming reportable on an employee's annual PAYG payme</w:t>
      </w:r>
      <w:r w:rsidR="008A7251">
        <w:t>nt summary, the maximum that an</w:t>
      </w:r>
      <w:r w:rsidRPr="008F3B07">
        <w:t xml:space="preserve"> employee can salary sacrifice free of FBT will be $2,550 per FBT year (pre-gross-up - this cap is separate from and in addition to the $31,177 general cap). </w:t>
      </w:r>
    </w:p>
  </w:footnote>
  <w:footnote w:id="39">
    <w:p w:rsidR="003932C8" w:rsidRDefault="003932C8">
      <w:pPr>
        <w:pStyle w:val="FootnoteText"/>
      </w:pPr>
      <w:r>
        <w:rPr>
          <w:rStyle w:val="FootnoteReference"/>
        </w:rPr>
        <w:footnoteRef/>
      </w:r>
      <w:r w:rsidR="008A7251">
        <w:t xml:space="preserve"> An employer</w:t>
      </w:r>
      <w:r>
        <w:t xml:space="preserve"> will not be entitled to use either concessional valuation method where the meal entertainment is provided pursuant to a salary packaging arrangem</w:t>
      </w:r>
      <w:r w:rsidR="002813F8">
        <w:t>ent (from 1 April 2016) because amending</w:t>
      </w:r>
      <w:r w:rsidRPr="007A7F69">
        <w:t xml:space="preserve"> legislation relating to meal entertainment and entertainment facility leasing benefits </w:t>
      </w:r>
      <w:r w:rsidR="002813F8">
        <w:t>has been passed that limits</w:t>
      </w:r>
      <w:r w:rsidRPr="007A7F69">
        <w:t xml:space="preserve"> this concession to meal entertainment that is </w:t>
      </w:r>
      <w:r w:rsidRPr="00AC6810">
        <w:rPr>
          <w:b/>
        </w:rPr>
        <w:t>not</w:t>
      </w:r>
      <w:r w:rsidRPr="007A7F69">
        <w:t xml:space="preserve"> provided under </w:t>
      </w:r>
      <w:r>
        <w:t>such an</w:t>
      </w:r>
      <w:r w:rsidRPr="007A7F69">
        <w:t xml:space="preserve"> arrangement. </w:t>
      </w:r>
    </w:p>
  </w:footnote>
  <w:footnote w:id="40">
    <w:p w:rsidR="003932C8" w:rsidRDefault="003932C8">
      <w:pPr>
        <w:pStyle w:val="FootnoteText"/>
      </w:pPr>
      <w:r>
        <w:rPr>
          <w:rStyle w:val="FootnoteReference"/>
        </w:rPr>
        <w:footnoteRef/>
      </w:r>
      <w:r w:rsidR="008A7251">
        <w:t xml:space="preserve"> Where the employer is a PBI, </w:t>
      </w:r>
      <w:r w:rsidRPr="00C3374C">
        <w:t xml:space="preserve">there is little benefit </w:t>
      </w:r>
      <w:r>
        <w:t xml:space="preserve">in </w:t>
      </w:r>
      <w:r w:rsidRPr="00C3374C">
        <w:t xml:space="preserve">making the election </w:t>
      </w:r>
      <w:r>
        <w:t>to apply the 50/50 method because the PBI</w:t>
      </w:r>
      <w:r w:rsidRPr="00C3374C">
        <w:t xml:space="preserve"> does not pay FBT on this expenditure in any event</w:t>
      </w:r>
      <w:r>
        <w:t xml:space="preserve"> (as it is an excluded benefit for FBT purposes). Nor will </w:t>
      </w:r>
      <w:r w:rsidR="008A7251">
        <w:t xml:space="preserve">the employer </w:t>
      </w:r>
      <w:r>
        <w:t>be</w:t>
      </w:r>
      <w:r w:rsidRPr="00AC6810">
        <w:t xml:space="preserve"> entitled to use </w:t>
      </w:r>
      <w:r>
        <w:t>this</w:t>
      </w:r>
      <w:r w:rsidRPr="00AC6810">
        <w:t xml:space="preserve"> concessional valuation method where the </w:t>
      </w:r>
      <w:r>
        <w:t>entertainment facility leasing benefit</w:t>
      </w:r>
      <w:r w:rsidRPr="00AC6810">
        <w:t xml:space="preserve"> is provided pursuant to a salary packaging arrangement </w:t>
      </w:r>
      <w:r>
        <w:t xml:space="preserve">(from 1 April 2016) </w:t>
      </w:r>
      <w:r w:rsidRPr="00AC6810">
        <w:t xml:space="preserve">because </w:t>
      </w:r>
      <w:r w:rsidR="00632892">
        <w:t>amending</w:t>
      </w:r>
      <w:r w:rsidRPr="00AC6810">
        <w:t xml:space="preserve"> legislation relating to meal entertainment and entertainment facility leasing </w:t>
      </w:r>
      <w:r w:rsidR="00632892">
        <w:t>benefits has been passed that limits</w:t>
      </w:r>
      <w:r w:rsidRPr="00AC6810">
        <w:t xml:space="preserve"> this concession to entertainment facility leasing benefit</w:t>
      </w:r>
      <w:r>
        <w:t xml:space="preserve">s that are </w:t>
      </w:r>
      <w:r w:rsidRPr="00AC6810">
        <w:rPr>
          <w:b/>
        </w:rPr>
        <w:t>not</w:t>
      </w:r>
      <w:r w:rsidRPr="00AC6810">
        <w:t xml:space="preserve"> provided under such an arrangement.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Layout w:type="fixed"/>
      <w:tblCellMar>
        <w:left w:w="0" w:type="dxa"/>
        <w:right w:w="0" w:type="dxa"/>
      </w:tblCellMar>
      <w:tblLook w:val="0000"/>
    </w:tblPr>
    <w:tblGrid>
      <w:gridCol w:w="6946"/>
      <w:gridCol w:w="2410"/>
    </w:tblGrid>
    <w:tr w:rsidR="003932C8" w:rsidRPr="0077043A">
      <w:trPr>
        <w:trHeight w:hRule="exact" w:val="900"/>
      </w:trPr>
      <w:tc>
        <w:tcPr>
          <w:tcW w:w="6946" w:type="dxa"/>
          <w:vAlign w:val="bottom"/>
        </w:tcPr>
        <w:p w:rsidR="003932C8" w:rsidRDefault="003932C8" w:rsidP="00861F83">
          <w:pPr>
            <w:pStyle w:val="HeaderTitle"/>
          </w:pPr>
        </w:p>
      </w:tc>
      <w:tc>
        <w:tcPr>
          <w:tcW w:w="2410" w:type="dxa"/>
          <w:vAlign w:val="bottom"/>
        </w:tcPr>
        <w:p w:rsidR="003932C8" w:rsidRPr="006A4582" w:rsidRDefault="003932C8" w:rsidP="00861F83">
          <w:pPr>
            <w:pStyle w:val="HeaderTitle"/>
            <w:jc w:val="right"/>
            <w:rPr>
              <w:rFonts w:ascii="Times New Roman" w:hAnsi="Times New Roman"/>
            </w:rPr>
          </w:pPr>
        </w:p>
      </w:tc>
    </w:tr>
  </w:tbl>
  <w:p w:rsidR="003932C8" w:rsidRPr="00990313" w:rsidRDefault="003932C8" w:rsidP="009903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Layout w:type="fixed"/>
      <w:tblCellMar>
        <w:left w:w="0" w:type="dxa"/>
        <w:right w:w="0" w:type="dxa"/>
      </w:tblCellMar>
      <w:tblLook w:val="0000"/>
    </w:tblPr>
    <w:tblGrid>
      <w:gridCol w:w="6946"/>
      <w:gridCol w:w="2410"/>
    </w:tblGrid>
    <w:tr w:rsidR="003932C8" w:rsidRPr="0077043A">
      <w:trPr>
        <w:trHeight w:hRule="exact" w:val="900"/>
      </w:trPr>
      <w:tc>
        <w:tcPr>
          <w:tcW w:w="6946" w:type="dxa"/>
          <w:vAlign w:val="bottom"/>
        </w:tcPr>
        <w:p w:rsidR="003932C8" w:rsidRDefault="003932C8">
          <w:pPr>
            <w:pStyle w:val="HeaderTitle2"/>
            <w:spacing w:before="0" w:after="0"/>
            <w:rPr>
              <w:noProof w:val="0"/>
            </w:rPr>
          </w:pPr>
        </w:p>
      </w:tc>
      <w:tc>
        <w:tcPr>
          <w:tcW w:w="2410" w:type="dxa"/>
          <w:vAlign w:val="bottom"/>
        </w:tcPr>
        <w:p w:rsidR="003932C8" w:rsidRPr="00A650FD" w:rsidRDefault="003932C8" w:rsidP="00EB1C16">
          <w:pPr>
            <w:pStyle w:val="HeaderTitle"/>
            <w:spacing w:before="0" w:line="288" w:lineRule="auto"/>
            <w:jc w:val="right"/>
            <w:rPr>
              <w:rFonts w:ascii="Times New Roman" w:hAnsi="Times New Roman"/>
              <w:noProof w:val="0"/>
            </w:rPr>
          </w:pPr>
        </w:p>
      </w:tc>
    </w:tr>
  </w:tbl>
  <w:p w:rsidR="003932C8" w:rsidRPr="00990313" w:rsidRDefault="003932C8" w:rsidP="009903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C8" w:rsidRPr="00990313" w:rsidRDefault="003932C8" w:rsidP="0099031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Layout w:type="fixed"/>
      <w:tblCellMar>
        <w:left w:w="0" w:type="dxa"/>
        <w:right w:w="0" w:type="dxa"/>
      </w:tblCellMar>
      <w:tblLook w:val="0000"/>
    </w:tblPr>
    <w:tblGrid>
      <w:gridCol w:w="6946"/>
      <w:gridCol w:w="2410"/>
    </w:tblGrid>
    <w:tr w:rsidR="003932C8" w:rsidRPr="0077043A">
      <w:trPr>
        <w:trHeight w:hRule="exact" w:val="900"/>
      </w:trPr>
      <w:tc>
        <w:tcPr>
          <w:tcW w:w="6946" w:type="dxa"/>
          <w:vAlign w:val="bottom"/>
        </w:tcPr>
        <w:p w:rsidR="003932C8" w:rsidRDefault="003932C8" w:rsidP="00861F83">
          <w:pPr>
            <w:pStyle w:val="HeaderTitle"/>
          </w:pPr>
        </w:p>
      </w:tc>
      <w:tc>
        <w:tcPr>
          <w:tcW w:w="2410" w:type="dxa"/>
          <w:vAlign w:val="bottom"/>
        </w:tcPr>
        <w:p w:rsidR="003932C8" w:rsidRPr="006A4582" w:rsidRDefault="003932C8" w:rsidP="00861F83">
          <w:pPr>
            <w:pStyle w:val="HeaderTitle"/>
            <w:jc w:val="right"/>
            <w:rPr>
              <w:rFonts w:ascii="Times New Roman" w:hAnsi="Times New Roman"/>
            </w:rPr>
          </w:pPr>
        </w:p>
      </w:tc>
    </w:tr>
  </w:tbl>
  <w:p w:rsidR="003932C8" w:rsidRPr="00990313" w:rsidRDefault="003932C8" w:rsidP="009903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3DC1C0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F8494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C3709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EF7D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16947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0C33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8">
    <w:nsid w:val="3B11364A"/>
    <w:multiLevelType w:val="multilevel"/>
    <w:tmpl w:val="059EC99A"/>
    <w:lvl w:ilvl="0">
      <w:start w:val="1"/>
      <w:numFmt w:val="upperLetter"/>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0">
    <w:nsid w:val="3D3719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3">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nsid w:val="417C62D9"/>
    <w:multiLevelType w:val="singleLevel"/>
    <w:tmpl w:val="FEFCBC88"/>
    <w:lvl w:ilvl="0">
      <w:start w:val="1"/>
      <w:numFmt w:val="bullet"/>
      <w:lvlText w:val="-"/>
      <w:lvlJc w:val="left"/>
      <w:pPr>
        <w:tabs>
          <w:tab w:val="num" w:pos="644"/>
        </w:tabs>
        <w:ind w:left="567" w:hanging="283"/>
      </w:pPr>
      <w:rPr>
        <w:rFonts w:ascii="Garamond" w:hAnsi="Garamond" w:hint="default"/>
        <w:b/>
        <w:i w:val="0"/>
        <w:sz w:val="24"/>
      </w:rPr>
    </w:lvl>
  </w:abstractNum>
  <w:abstractNum w:abstractNumId="16">
    <w:nsid w:val="485A7440"/>
    <w:multiLevelType w:val="hybridMultilevel"/>
    <w:tmpl w:val="B566A3C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8">
    <w:nsid w:val="590F6D3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1">
    <w:nsid w:val="6F8B68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3">
    <w:nsid w:val="7C3E3515"/>
    <w:multiLevelType w:val="singleLevel"/>
    <w:tmpl w:val="0C09000F"/>
    <w:lvl w:ilvl="0">
      <w:start w:val="1"/>
      <w:numFmt w:val="decimal"/>
      <w:lvlText w:val="%1."/>
      <w:lvlJc w:val="left"/>
      <w:pPr>
        <w:tabs>
          <w:tab w:val="num" w:pos="360"/>
        </w:tabs>
        <w:ind w:left="360" w:hanging="360"/>
      </w:pPr>
    </w:lvl>
  </w:abstractNum>
  <w:abstractNum w:abstractNumId="24">
    <w:nsid w:val="7CC848C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9"/>
  </w:num>
  <w:num w:numId="3">
    <w:abstractNumId w:val="17"/>
  </w:num>
  <w:num w:numId="4">
    <w:abstractNumId w:val="7"/>
  </w:num>
  <w:num w:numId="5">
    <w:abstractNumId w:val="20"/>
  </w:num>
  <w:num w:numId="6">
    <w:abstractNumId w:val="12"/>
  </w:num>
  <w:num w:numId="7">
    <w:abstractNumId w:val="19"/>
  </w:num>
  <w:num w:numId="8">
    <w:abstractNumId w:val="0"/>
  </w:num>
  <w:num w:numId="9">
    <w:abstractNumId w:val="11"/>
  </w:num>
  <w:num w:numId="10">
    <w:abstractNumId w:val="14"/>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3">
    <w:abstractNumId w:val="8"/>
  </w:num>
  <w:num w:numId="14">
    <w:abstractNumId w:val="23"/>
  </w:num>
  <w:num w:numId="15">
    <w:abstractNumId w:val="18"/>
  </w:num>
  <w:num w:numId="16">
    <w:abstractNumId w:val="1"/>
  </w:num>
  <w:num w:numId="17">
    <w:abstractNumId w:val="13"/>
  </w:num>
  <w:num w:numId="18">
    <w:abstractNumId w:val="10"/>
  </w:num>
  <w:num w:numId="19">
    <w:abstractNumId w:val="3"/>
  </w:num>
  <w:num w:numId="20">
    <w:abstractNumId w:val="21"/>
  </w:num>
  <w:num w:numId="21">
    <w:abstractNumId w:val="6"/>
  </w:num>
  <w:num w:numId="22">
    <w:abstractNumId w:val="2"/>
  </w:num>
  <w:num w:numId="23">
    <w:abstractNumId w:val="24"/>
  </w:num>
  <w:num w:numId="24">
    <w:abstractNumId w:val="4"/>
  </w:num>
  <w:num w:numId="25">
    <w:abstractNumId w:val="5"/>
  </w:num>
  <w:num w:numId="26">
    <w:abstractNumId w:val="15"/>
  </w:num>
  <w:num w:numId="27">
    <w:abstractNumId w:val="12"/>
  </w:num>
  <w:num w:numId="28">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stylePaneFormatFilter w:val="3801"/>
  <w:trackRevisions/>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w:hdrShapeDefaults>
  <w:footnotePr>
    <w:footnote w:id="-1"/>
    <w:footnote w:id="0"/>
  </w:footnotePr>
  <w:endnotePr>
    <w:endnote w:id="-1"/>
    <w:endnote w:id="0"/>
  </w:endnotePr>
  <w:compat/>
  <w:rsids>
    <w:rsidRoot w:val="001644D4"/>
    <w:rsid w:val="000002B6"/>
    <w:rsid w:val="00000C11"/>
    <w:rsid w:val="000042E7"/>
    <w:rsid w:val="00006064"/>
    <w:rsid w:val="00006574"/>
    <w:rsid w:val="00006AF3"/>
    <w:rsid w:val="00007CD4"/>
    <w:rsid w:val="00013DCA"/>
    <w:rsid w:val="00014E99"/>
    <w:rsid w:val="000225A9"/>
    <w:rsid w:val="00022639"/>
    <w:rsid w:val="00023EE7"/>
    <w:rsid w:val="00026E4B"/>
    <w:rsid w:val="00026FDB"/>
    <w:rsid w:val="00027458"/>
    <w:rsid w:val="00030F9C"/>
    <w:rsid w:val="000319B2"/>
    <w:rsid w:val="00031ACF"/>
    <w:rsid w:val="000419E4"/>
    <w:rsid w:val="00041BC1"/>
    <w:rsid w:val="0004403D"/>
    <w:rsid w:val="000444E2"/>
    <w:rsid w:val="0004577F"/>
    <w:rsid w:val="00052C05"/>
    <w:rsid w:val="00057CAE"/>
    <w:rsid w:val="0006422B"/>
    <w:rsid w:val="00064717"/>
    <w:rsid w:val="00071BC2"/>
    <w:rsid w:val="0007220A"/>
    <w:rsid w:val="000761B1"/>
    <w:rsid w:val="00076F05"/>
    <w:rsid w:val="00080247"/>
    <w:rsid w:val="0008153D"/>
    <w:rsid w:val="00081B03"/>
    <w:rsid w:val="00081B21"/>
    <w:rsid w:val="000828D4"/>
    <w:rsid w:val="00082A42"/>
    <w:rsid w:val="00083A8B"/>
    <w:rsid w:val="00084511"/>
    <w:rsid w:val="00084D2A"/>
    <w:rsid w:val="00085392"/>
    <w:rsid w:val="00086CB7"/>
    <w:rsid w:val="000872BD"/>
    <w:rsid w:val="00096C0C"/>
    <w:rsid w:val="000A00CD"/>
    <w:rsid w:val="000A5C48"/>
    <w:rsid w:val="000B00AF"/>
    <w:rsid w:val="000B31B8"/>
    <w:rsid w:val="000B37B8"/>
    <w:rsid w:val="000B78A7"/>
    <w:rsid w:val="000C0CF7"/>
    <w:rsid w:val="000C1537"/>
    <w:rsid w:val="000C616D"/>
    <w:rsid w:val="000C6D6A"/>
    <w:rsid w:val="000D4C71"/>
    <w:rsid w:val="000D5261"/>
    <w:rsid w:val="000D5692"/>
    <w:rsid w:val="000D70A0"/>
    <w:rsid w:val="000E34AD"/>
    <w:rsid w:val="000E46B2"/>
    <w:rsid w:val="000E5D7E"/>
    <w:rsid w:val="000E5DE7"/>
    <w:rsid w:val="000F0353"/>
    <w:rsid w:val="000F09C9"/>
    <w:rsid w:val="000F3604"/>
    <w:rsid w:val="000F733D"/>
    <w:rsid w:val="0010236D"/>
    <w:rsid w:val="00102490"/>
    <w:rsid w:val="001048C3"/>
    <w:rsid w:val="00104B55"/>
    <w:rsid w:val="0010656C"/>
    <w:rsid w:val="0010725B"/>
    <w:rsid w:val="00111576"/>
    <w:rsid w:val="00112E3C"/>
    <w:rsid w:val="00113041"/>
    <w:rsid w:val="00114436"/>
    <w:rsid w:val="001150F5"/>
    <w:rsid w:val="00116341"/>
    <w:rsid w:val="00117FE0"/>
    <w:rsid w:val="001225F7"/>
    <w:rsid w:val="00127AE2"/>
    <w:rsid w:val="00127D1B"/>
    <w:rsid w:val="00131B93"/>
    <w:rsid w:val="00131D78"/>
    <w:rsid w:val="00133615"/>
    <w:rsid w:val="00134058"/>
    <w:rsid w:val="00135519"/>
    <w:rsid w:val="00135BF4"/>
    <w:rsid w:val="0014220A"/>
    <w:rsid w:val="00145742"/>
    <w:rsid w:val="00146179"/>
    <w:rsid w:val="00146955"/>
    <w:rsid w:val="00147476"/>
    <w:rsid w:val="0015241C"/>
    <w:rsid w:val="00153DE4"/>
    <w:rsid w:val="001543FE"/>
    <w:rsid w:val="001568B7"/>
    <w:rsid w:val="0015748D"/>
    <w:rsid w:val="00157673"/>
    <w:rsid w:val="00160862"/>
    <w:rsid w:val="00160C3E"/>
    <w:rsid w:val="001610F1"/>
    <w:rsid w:val="00163C93"/>
    <w:rsid w:val="001644D4"/>
    <w:rsid w:val="00164986"/>
    <w:rsid w:val="00165B78"/>
    <w:rsid w:val="001665DC"/>
    <w:rsid w:val="001679EE"/>
    <w:rsid w:val="00174EBE"/>
    <w:rsid w:val="001775F1"/>
    <w:rsid w:val="00180E60"/>
    <w:rsid w:val="001814D8"/>
    <w:rsid w:val="00181F30"/>
    <w:rsid w:val="00185C0F"/>
    <w:rsid w:val="00185F15"/>
    <w:rsid w:val="00186C51"/>
    <w:rsid w:val="00187DB8"/>
    <w:rsid w:val="0019095D"/>
    <w:rsid w:val="00190BE1"/>
    <w:rsid w:val="00191512"/>
    <w:rsid w:val="001942FA"/>
    <w:rsid w:val="00196451"/>
    <w:rsid w:val="001A30DE"/>
    <w:rsid w:val="001A5990"/>
    <w:rsid w:val="001A5C85"/>
    <w:rsid w:val="001A624C"/>
    <w:rsid w:val="001B0185"/>
    <w:rsid w:val="001B2BB5"/>
    <w:rsid w:val="001B5101"/>
    <w:rsid w:val="001C0D4B"/>
    <w:rsid w:val="001C428F"/>
    <w:rsid w:val="001C4F36"/>
    <w:rsid w:val="001C4FE1"/>
    <w:rsid w:val="001D0AEB"/>
    <w:rsid w:val="001D40AA"/>
    <w:rsid w:val="001D49A2"/>
    <w:rsid w:val="001D54D6"/>
    <w:rsid w:val="001D5781"/>
    <w:rsid w:val="001D5EE5"/>
    <w:rsid w:val="001E054B"/>
    <w:rsid w:val="001E1BFF"/>
    <w:rsid w:val="001E4B93"/>
    <w:rsid w:val="001E5E95"/>
    <w:rsid w:val="001F07C7"/>
    <w:rsid w:val="001F3C5E"/>
    <w:rsid w:val="001F5B7D"/>
    <w:rsid w:val="001F668B"/>
    <w:rsid w:val="001F700D"/>
    <w:rsid w:val="00200467"/>
    <w:rsid w:val="0020182A"/>
    <w:rsid w:val="002073DA"/>
    <w:rsid w:val="00212C3A"/>
    <w:rsid w:val="00213B2E"/>
    <w:rsid w:val="00213BC9"/>
    <w:rsid w:val="002149DA"/>
    <w:rsid w:val="00214F26"/>
    <w:rsid w:val="002155D8"/>
    <w:rsid w:val="00216A3B"/>
    <w:rsid w:val="00220835"/>
    <w:rsid w:val="00221E40"/>
    <w:rsid w:val="00223796"/>
    <w:rsid w:val="00226F87"/>
    <w:rsid w:val="00232372"/>
    <w:rsid w:val="00232E0B"/>
    <w:rsid w:val="0023614E"/>
    <w:rsid w:val="0024094E"/>
    <w:rsid w:val="00242448"/>
    <w:rsid w:val="00242FCF"/>
    <w:rsid w:val="00244D5D"/>
    <w:rsid w:val="0024770F"/>
    <w:rsid w:val="002505D2"/>
    <w:rsid w:val="00254857"/>
    <w:rsid w:val="002553CE"/>
    <w:rsid w:val="00255DB4"/>
    <w:rsid w:val="00257333"/>
    <w:rsid w:val="002575FB"/>
    <w:rsid w:val="00262F74"/>
    <w:rsid w:val="0026396F"/>
    <w:rsid w:val="00272583"/>
    <w:rsid w:val="00273F9E"/>
    <w:rsid w:val="00280B34"/>
    <w:rsid w:val="002813F8"/>
    <w:rsid w:val="00283525"/>
    <w:rsid w:val="0028458B"/>
    <w:rsid w:val="002847EB"/>
    <w:rsid w:val="002853D2"/>
    <w:rsid w:val="00285C00"/>
    <w:rsid w:val="00285EDC"/>
    <w:rsid w:val="00287110"/>
    <w:rsid w:val="00287C22"/>
    <w:rsid w:val="00290AE9"/>
    <w:rsid w:val="00292799"/>
    <w:rsid w:val="00294429"/>
    <w:rsid w:val="00295721"/>
    <w:rsid w:val="002A079C"/>
    <w:rsid w:val="002A0D59"/>
    <w:rsid w:val="002A2CA5"/>
    <w:rsid w:val="002A67A2"/>
    <w:rsid w:val="002A6CF4"/>
    <w:rsid w:val="002A712F"/>
    <w:rsid w:val="002B1307"/>
    <w:rsid w:val="002B2605"/>
    <w:rsid w:val="002B2BBF"/>
    <w:rsid w:val="002C078A"/>
    <w:rsid w:val="002C1D56"/>
    <w:rsid w:val="002C2786"/>
    <w:rsid w:val="002C29BC"/>
    <w:rsid w:val="002C40B0"/>
    <w:rsid w:val="002C47B8"/>
    <w:rsid w:val="002D1E56"/>
    <w:rsid w:val="002D2975"/>
    <w:rsid w:val="002D2F39"/>
    <w:rsid w:val="002D559E"/>
    <w:rsid w:val="002D55B0"/>
    <w:rsid w:val="002D5A4F"/>
    <w:rsid w:val="002E1700"/>
    <w:rsid w:val="002E1921"/>
    <w:rsid w:val="002E1CC1"/>
    <w:rsid w:val="002E4D22"/>
    <w:rsid w:val="002E5F1F"/>
    <w:rsid w:val="002F4EA8"/>
    <w:rsid w:val="0030368F"/>
    <w:rsid w:val="00303794"/>
    <w:rsid w:val="00304ABE"/>
    <w:rsid w:val="00305135"/>
    <w:rsid w:val="00306C17"/>
    <w:rsid w:val="00307009"/>
    <w:rsid w:val="00310F53"/>
    <w:rsid w:val="00314A92"/>
    <w:rsid w:val="00314CA6"/>
    <w:rsid w:val="00316EEF"/>
    <w:rsid w:val="003204E9"/>
    <w:rsid w:val="00322F3F"/>
    <w:rsid w:val="003233B3"/>
    <w:rsid w:val="0032386E"/>
    <w:rsid w:val="003321B6"/>
    <w:rsid w:val="0033472B"/>
    <w:rsid w:val="003348AF"/>
    <w:rsid w:val="0033502B"/>
    <w:rsid w:val="003370A5"/>
    <w:rsid w:val="00343866"/>
    <w:rsid w:val="00345B1A"/>
    <w:rsid w:val="003462EE"/>
    <w:rsid w:val="00350F90"/>
    <w:rsid w:val="00361514"/>
    <w:rsid w:val="0036390C"/>
    <w:rsid w:val="00364D22"/>
    <w:rsid w:val="00367412"/>
    <w:rsid w:val="003675DB"/>
    <w:rsid w:val="00370369"/>
    <w:rsid w:val="003715CA"/>
    <w:rsid w:val="003734D0"/>
    <w:rsid w:val="00373728"/>
    <w:rsid w:val="003739AA"/>
    <w:rsid w:val="0037557D"/>
    <w:rsid w:val="00376CD7"/>
    <w:rsid w:val="00381642"/>
    <w:rsid w:val="003816BF"/>
    <w:rsid w:val="00382552"/>
    <w:rsid w:val="003826D1"/>
    <w:rsid w:val="00382805"/>
    <w:rsid w:val="00386703"/>
    <w:rsid w:val="003874EA"/>
    <w:rsid w:val="00391DF1"/>
    <w:rsid w:val="003932C8"/>
    <w:rsid w:val="003A0C49"/>
    <w:rsid w:val="003A154A"/>
    <w:rsid w:val="003A4C8F"/>
    <w:rsid w:val="003A5AE0"/>
    <w:rsid w:val="003A77CC"/>
    <w:rsid w:val="003B2124"/>
    <w:rsid w:val="003B3DB9"/>
    <w:rsid w:val="003B40CF"/>
    <w:rsid w:val="003B4266"/>
    <w:rsid w:val="003B4842"/>
    <w:rsid w:val="003B5D00"/>
    <w:rsid w:val="003B6D9F"/>
    <w:rsid w:val="003B7CCB"/>
    <w:rsid w:val="003C4480"/>
    <w:rsid w:val="003C64DC"/>
    <w:rsid w:val="003C7773"/>
    <w:rsid w:val="003D124B"/>
    <w:rsid w:val="003D1651"/>
    <w:rsid w:val="003D16CC"/>
    <w:rsid w:val="003D56BF"/>
    <w:rsid w:val="003D5F4B"/>
    <w:rsid w:val="003D7609"/>
    <w:rsid w:val="003E0F9F"/>
    <w:rsid w:val="003E22DA"/>
    <w:rsid w:val="003E49DE"/>
    <w:rsid w:val="003E6063"/>
    <w:rsid w:val="003E75F3"/>
    <w:rsid w:val="003E7C85"/>
    <w:rsid w:val="003F0B5C"/>
    <w:rsid w:val="003F4132"/>
    <w:rsid w:val="003F51F3"/>
    <w:rsid w:val="003F6BF3"/>
    <w:rsid w:val="0040080F"/>
    <w:rsid w:val="004009D8"/>
    <w:rsid w:val="004047C5"/>
    <w:rsid w:val="00404C8D"/>
    <w:rsid w:val="0040662D"/>
    <w:rsid w:val="0040705A"/>
    <w:rsid w:val="00410B35"/>
    <w:rsid w:val="00411475"/>
    <w:rsid w:val="00417498"/>
    <w:rsid w:val="00427F72"/>
    <w:rsid w:val="00430DD7"/>
    <w:rsid w:val="00431A29"/>
    <w:rsid w:val="00432CC3"/>
    <w:rsid w:val="00432ECF"/>
    <w:rsid w:val="00433A78"/>
    <w:rsid w:val="00434704"/>
    <w:rsid w:val="00435159"/>
    <w:rsid w:val="004358D3"/>
    <w:rsid w:val="0044039E"/>
    <w:rsid w:val="00441547"/>
    <w:rsid w:val="00447CF0"/>
    <w:rsid w:val="00447F90"/>
    <w:rsid w:val="00452610"/>
    <w:rsid w:val="00453882"/>
    <w:rsid w:val="00454FBF"/>
    <w:rsid w:val="00456206"/>
    <w:rsid w:val="00456DAF"/>
    <w:rsid w:val="004629ED"/>
    <w:rsid w:val="00470ABC"/>
    <w:rsid w:val="00470D25"/>
    <w:rsid w:val="00471334"/>
    <w:rsid w:val="00475099"/>
    <w:rsid w:val="00481F1F"/>
    <w:rsid w:val="0048230E"/>
    <w:rsid w:val="00482968"/>
    <w:rsid w:val="00485C77"/>
    <w:rsid w:val="00487244"/>
    <w:rsid w:val="00491E62"/>
    <w:rsid w:val="004955F7"/>
    <w:rsid w:val="00495ED6"/>
    <w:rsid w:val="004A0428"/>
    <w:rsid w:val="004B2E1C"/>
    <w:rsid w:val="004B74DA"/>
    <w:rsid w:val="004B7E46"/>
    <w:rsid w:val="004C370C"/>
    <w:rsid w:val="004C3FD5"/>
    <w:rsid w:val="004C5ADF"/>
    <w:rsid w:val="004D375B"/>
    <w:rsid w:val="004D4150"/>
    <w:rsid w:val="004D4C66"/>
    <w:rsid w:val="004D5161"/>
    <w:rsid w:val="004E03E6"/>
    <w:rsid w:val="004E1A72"/>
    <w:rsid w:val="004E2174"/>
    <w:rsid w:val="004E3DB9"/>
    <w:rsid w:val="004E45AC"/>
    <w:rsid w:val="004E4CB2"/>
    <w:rsid w:val="004E6036"/>
    <w:rsid w:val="004E6168"/>
    <w:rsid w:val="004E6600"/>
    <w:rsid w:val="004F18DB"/>
    <w:rsid w:val="004F2D25"/>
    <w:rsid w:val="004F564B"/>
    <w:rsid w:val="004F7B33"/>
    <w:rsid w:val="00500E4F"/>
    <w:rsid w:val="00501DE6"/>
    <w:rsid w:val="00504D59"/>
    <w:rsid w:val="0050783C"/>
    <w:rsid w:val="00507C17"/>
    <w:rsid w:val="0051030B"/>
    <w:rsid w:val="005115EE"/>
    <w:rsid w:val="00511CB3"/>
    <w:rsid w:val="0051476E"/>
    <w:rsid w:val="005150B5"/>
    <w:rsid w:val="00521355"/>
    <w:rsid w:val="00521B74"/>
    <w:rsid w:val="00521D22"/>
    <w:rsid w:val="00522035"/>
    <w:rsid w:val="005241C6"/>
    <w:rsid w:val="00525A57"/>
    <w:rsid w:val="00526A34"/>
    <w:rsid w:val="005301B4"/>
    <w:rsid w:val="0053040E"/>
    <w:rsid w:val="005323E6"/>
    <w:rsid w:val="00532437"/>
    <w:rsid w:val="00532910"/>
    <w:rsid w:val="005339DA"/>
    <w:rsid w:val="0053638F"/>
    <w:rsid w:val="00537061"/>
    <w:rsid w:val="00537D19"/>
    <w:rsid w:val="00537E17"/>
    <w:rsid w:val="0054051B"/>
    <w:rsid w:val="005419EE"/>
    <w:rsid w:val="0054227E"/>
    <w:rsid w:val="0054396D"/>
    <w:rsid w:val="00547CD5"/>
    <w:rsid w:val="005547D2"/>
    <w:rsid w:val="00560113"/>
    <w:rsid w:val="005612F1"/>
    <w:rsid w:val="00562469"/>
    <w:rsid w:val="0056287B"/>
    <w:rsid w:val="005649F7"/>
    <w:rsid w:val="005716D5"/>
    <w:rsid w:val="0057560E"/>
    <w:rsid w:val="00575813"/>
    <w:rsid w:val="005810B3"/>
    <w:rsid w:val="00581674"/>
    <w:rsid w:val="005843B5"/>
    <w:rsid w:val="0058735E"/>
    <w:rsid w:val="00587B21"/>
    <w:rsid w:val="005904D1"/>
    <w:rsid w:val="0059214A"/>
    <w:rsid w:val="00592567"/>
    <w:rsid w:val="00592851"/>
    <w:rsid w:val="0059382D"/>
    <w:rsid w:val="0059455C"/>
    <w:rsid w:val="0059494F"/>
    <w:rsid w:val="005956D6"/>
    <w:rsid w:val="00597229"/>
    <w:rsid w:val="00597D5E"/>
    <w:rsid w:val="00597EA1"/>
    <w:rsid w:val="005A1FD5"/>
    <w:rsid w:val="005A25C3"/>
    <w:rsid w:val="005A29A3"/>
    <w:rsid w:val="005A5D9E"/>
    <w:rsid w:val="005A68B3"/>
    <w:rsid w:val="005A7A6A"/>
    <w:rsid w:val="005A7BC6"/>
    <w:rsid w:val="005A7F21"/>
    <w:rsid w:val="005B00C1"/>
    <w:rsid w:val="005B0167"/>
    <w:rsid w:val="005B0B81"/>
    <w:rsid w:val="005B13A7"/>
    <w:rsid w:val="005B20B4"/>
    <w:rsid w:val="005B316F"/>
    <w:rsid w:val="005B4D62"/>
    <w:rsid w:val="005B54EA"/>
    <w:rsid w:val="005B5CBD"/>
    <w:rsid w:val="005B6BCD"/>
    <w:rsid w:val="005C3EFF"/>
    <w:rsid w:val="005D2A38"/>
    <w:rsid w:val="005D55C9"/>
    <w:rsid w:val="005D5F3B"/>
    <w:rsid w:val="005D6527"/>
    <w:rsid w:val="005E353F"/>
    <w:rsid w:val="005E5188"/>
    <w:rsid w:val="005E5456"/>
    <w:rsid w:val="005E69EA"/>
    <w:rsid w:val="005F1E37"/>
    <w:rsid w:val="005F3D77"/>
    <w:rsid w:val="005F6067"/>
    <w:rsid w:val="0060035A"/>
    <w:rsid w:val="00600762"/>
    <w:rsid w:val="006023E1"/>
    <w:rsid w:val="00603D72"/>
    <w:rsid w:val="006044A3"/>
    <w:rsid w:val="00604716"/>
    <w:rsid w:val="00605812"/>
    <w:rsid w:val="00606D87"/>
    <w:rsid w:val="006071A8"/>
    <w:rsid w:val="00610DA5"/>
    <w:rsid w:val="006116CD"/>
    <w:rsid w:val="00611CD6"/>
    <w:rsid w:val="00612797"/>
    <w:rsid w:val="006138B4"/>
    <w:rsid w:val="006162BA"/>
    <w:rsid w:val="00620BAA"/>
    <w:rsid w:val="006225BA"/>
    <w:rsid w:val="00623A07"/>
    <w:rsid w:val="00623C7F"/>
    <w:rsid w:val="00624747"/>
    <w:rsid w:val="006266FD"/>
    <w:rsid w:val="00630005"/>
    <w:rsid w:val="006323B6"/>
    <w:rsid w:val="00632892"/>
    <w:rsid w:val="00633D98"/>
    <w:rsid w:val="0063452C"/>
    <w:rsid w:val="00634B8D"/>
    <w:rsid w:val="006352F8"/>
    <w:rsid w:val="00635611"/>
    <w:rsid w:val="00645BE6"/>
    <w:rsid w:val="00646F05"/>
    <w:rsid w:val="0065036B"/>
    <w:rsid w:val="00650C00"/>
    <w:rsid w:val="00652C02"/>
    <w:rsid w:val="00654C8E"/>
    <w:rsid w:val="00656EDE"/>
    <w:rsid w:val="00662327"/>
    <w:rsid w:val="006632DD"/>
    <w:rsid w:val="00664565"/>
    <w:rsid w:val="00664668"/>
    <w:rsid w:val="00665ED2"/>
    <w:rsid w:val="00666408"/>
    <w:rsid w:val="006678DD"/>
    <w:rsid w:val="00667930"/>
    <w:rsid w:val="00671E93"/>
    <w:rsid w:val="00674100"/>
    <w:rsid w:val="00675512"/>
    <w:rsid w:val="00676426"/>
    <w:rsid w:val="0067751B"/>
    <w:rsid w:val="00681D47"/>
    <w:rsid w:val="006824B0"/>
    <w:rsid w:val="0068570D"/>
    <w:rsid w:val="00686857"/>
    <w:rsid w:val="00686D23"/>
    <w:rsid w:val="00687AB6"/>
    <w:rsid w:val="00691DA2"/>
    <w:rsid w:val="00695950"/>
    <w:rsid w:val="006966DB"/>
    <w:rsid w:val="00696FEC"/>
    <w:rsid w:val="006A0090"/>
    <w:rsid w:val="006A228D"/>
    <w:rsid w:val="006A5693"/>
    <w:rsid w:val="006A79E9"/>
    <w:rsid w:val="006B3D9D"/>
    <w:rsid w:val="006B5ACD"/>
    <w:rsid w:val="006B6610"/>
    <w:rsid w:val="006B78DB"/>
    <w:rsid w:val="006C03FB"/>
    <w:rsid w:val="006C521B"/>
    <w:rsid w:val="006C7678"/>
    <w:rsid w:val="006C7BCC"/>
    <w:rsid w:val="006D7520"/>
    <w:rsid w:val="006E07C1"/>
    <w:rsid w:val="006E6551"/>
    <w:rsid w:val="006E66C7"/>
    <w:rsid w:val="006E74B7"/>
    <w:rsid w:val="006E7940"/>
    <w:rsid w:val="006F71C8"/>
    <w:rsid w:val="006F75B8"/>
    <w:rsid w:val="007018BF"/>
    <w:rsid w:val="00701B06"/>
    <w:rsid w:val="00703B20"/>
    <w:rsid w:val="00704F78"/>
    <w:rsid w:val="00705095"/>
    <w:rsid w:val="00711802"/>
    <w:rsid w:val="0071265D"/>
    <w:rsid w:val="007128EA"/>
    <w:rsid w:val="00722065"/>
    <w:rsid w:val="00723132"/>
    <w:rsid w:val="00723309"/>
    <w:rsid w:val="00723AD9"/>
    <w:rsid w:val="00723D7A"/>
    <w:rsid w:val="00723DA6"/>
    <w:rsid w:val="007305AB"/>
    <w:rsid w:val="00730D2F"/>
    <w:rsid w:val="00731E1A"/>
    <w:rsid w:val="0073233F"/>
    <w:rsid w:val="00732584"/>
    <w:rsid w:val="007335AA"/>
    <w:rsid w:val="00734047"/>
    <w:rsid w:val="00736AC2"/>
    <w:rsid w:val="00737E7C"/>
    <w:rsid w:val="007424D8"/>
    <w:rsid w:val="00742ADE"/>
    <w:rsid w:val="007445B8"/>
    <w:rsid w:val="00747EE9"/>
    <w:rsid w:val="0075101F"/>
    <w:rsid w:val="0075196B"/>
    <w:rsid w:val="0075446C"/>
    <w:rsid w:val="00755F5E"/>
    <w:rsid w:val="007567AE"/>
    <w:rsid w:val="00760040"/>
    <w:rsid w:val="0076095C"/>
    <w:rsid w:val="00760D48"/>
    <w:rsid w:val="00762E50"/>
    <w:rsid w:val="00765ED5"/>
    <w:rsid w:val="00773B82"/>
    <w:rsid w:val="00774C24"/>
    <w:rsid w:val="00781488"/>
    <w:rsid w:val="007818A9"/>
    <w:rsid w:val="007818B4"/>
    <w:rsid w:val="00786F2D"/>
    <w:rsid w:val="00787F71"/>
    <w:rsid w:val="00794CDD"/>
    <w:rsid w:val="0079772A"/>
    <w:rsid w:val="007A0910"/>
    <w:rsid w:val="007A1043"/>
    <w:rsid w:val="007A20C1"/>
    <w:rsid w:val="007A21DF"/>
    <w:rsid w:val="007A26E9"/>
    <w:rsid w:val="007A34FA"/>
    <w:rsid w:val="007A42D6"/>
    <w:rsid w:val="007A4CD5"/>
    <w:rsid w:val="007A60D9"/>
    <w:rsid w:val="007A6A93"/>
    <w:rsid w:val="007A7234"/>
    <w:rsid w:val="007A7F69"/>
    <w:rsid w:val="007B0579"/>
    <w:rsid w:val="007B35D1"/>
    <w:rsid w:val="007B4E81"/>
    <w:rsid w:val="007C1F28"/>
    <w:rsid w:val="007C2573"/>
    <w:rsid w:val="007D26A8"/>
    <w:rsid w:val="007D42D3"/>
    <w:rsid w:val="007D4B03"/>
    <w:rsid w:val="007D65B7"/>
    <w:rsid w:val="007E027D"/>
    <w:rsid w:val="007E4072"/>
    <w:rsid w:val="007E4BC3"/>
    <w:rsid w:val="007E4CD3"/>
    <w:rsid w:val="007E4F6B"/>
    <w:rsid w:val="007E5743"/>
    <w:rsid w:val="007E7CE0"/>
    <w:rsid w:val="007F05A1"/>
    <w:rsid w:val="007F0F62"/>
    <w:rsid w:val="007F1357"/>
    <w:rsid w:val="007F35E3"/>
    <w:rsid w:val="007F3E6E"/>
    <w:rsid w:val="0080116A"/>
    <w:rsid w:val="00803421"/>
    <w:rsid w:val="008041E7"/>
    <w:rsid w:val="008062EE"/>
    <w:rsid w:val="00812E26"/>
    <w:rsid w:val="0081323F"/>
    <w:rsid w:val="0081664B"/>
    <w:rsid w:val="008170DF"/>
    <w:rsid w:val="00820150"/>
    <w:rsid w:val="00820936"/>
    <w:rsid w:val="00822440"/>
    <w:rsid w:val="0082336A"/>
    <w:rsid w:val="00823AA1"/>
    <w:rsid w:val="00824039"/>
    <w:rsid w:val="00825DF8"/>
    <w:rsid w:val="00826EE7"/>
    <w:rsid w:val="008328C3"/>
    <w:rsid w:val="0083489B"/>
    <w:rsid w:val="008359BA"/>
    <w:rsid w:val="00836FD0"/>
    <w:rsid w:val="00847FB9"/>
    <w:rsid w:val="008503E1"/>
    <w:rsid w:val="00852B95"/>
    <w:rsid w:val="00852ED7"/>
    <w:rsid w:val="00853348"/>
    <w:rsid w:val="00860453"/>
    <w:rsid w:val="0086189C"/>
    <w:rsid w:val="00861F83"/>
    <w:rsid w:val="00864F57"/>
    <w:rsid w:val="00865671"/>
    <w:rsid w:val="00867706"/>
    <w:rsid w:val="00867781"/>
    <w:rsid w:val="00870300"/>
    <w:rsid w:val="008709B0"/>
    <w:rsid w:val="00871A5B"/>
    <w:rsid w:val="00873ABC"/>
    <w:rsid w:val="008745AF"/>
    <w:rsid w:val="0087552F"/>
    <w:rsid w:val="00880369"/>
    <w:rsid w:val="00881305"/>
    <w:rsid w:val="0088133B"/>
    <w:rsid w:val="0088396C"/>
    <w:rsid w:val="00891166"/>
    <w:rsid w:val="008923B3"/>
    <w:rsid w:val="008941B5"/>
    <w:rsid w:val="008955CF"/>
    <w:rsid w:val="00895A6F"/>
    <w:rsid w:val="008960D6"/>
    <w:rsid w:val="008966CE"/>
    <w:rsid w:val="00896DF1"/>
    <w:rsid w:val="00897B7D"/>
    <w:rsid w:val="008A060B"/>
    <w:rsid w:val="008A64E2"/>
    <w:rsid w:val="008A6E15"/>
    <w:rsid w:val="008A7199"/>
    <w:rsid w:val="008A7251"/>
    <w:rsid w:val="008B2ECB"/>
    <w:rsid w:val="008B4A80"/>
    <w:rsid w:val="008B5708"/>
    <w:rsid w:val="008B62BC"/>
    <w:rsid w:val="008B69EB"/>
    <w:rsid w:val="008B6E37"/>
    <w:rsid w:val="008B7441"/>
    <w:rsid w:val="008C2CD6"/>
    <w:rsid w:val="008C2E9A"/>
    <w:rsid w:val="008C45DB"/>
    <w:rsid w:val="008C4628"/>
    <w:rsid w:val="008C574C"/>
    <w:rsid w:val="008C66A2"/>
    <w:rsid w:val="008D2738"/>
    <w:rsid w:val="008D2AE8"/>
    <w:rsid w:val="008D2E66"/>
    <w:rsid w:val="008D3D51"/>
    <w:rsid w:val="008D42CC"/>
    <w:rsid w:val="008D47F7"/>
    <w:rsid w:val="008D5664"/>
    <w:rsid w:val="008D642C"/>
    <w:rsid w:val="008D75E5"/>
    <w:rsid w:val="008E0325"/>
    <w:rsid w:val="008E170B"/>
    <w:rsid w:val="008E27D2"/>
    <w:rsid w:val="008E30AD"/>
    <w:rsid w:val="008E3667"/>
    <w:rsid w:val="008E3FF2"/>
    <w:rsid w:val="008E448F"/>
    <w:rsid w:val="008E4815"/>
    <w:rsid w:val="008E709F"/>
    <w:rsid w:val="008F0954"/>
    <w:rsid w:val="008F0C60"/>
    <w:rsid w:val="008F1F42"/>
    <w:rsid w:val="008F3B07"/>
    <w:rsid w:val="008F401F"/>
    <w:rsid w:val="008F6890"/>
    <w:rsid w:val="008F6EA2"/>
    <w:rsid w:val="008F7A48"/>
    <w:rsid w:val="0090065E"/>
    <w:rsid w:val="00901C9A"/>
    <w:rsid w:val="00903753"/>
    <w:rsid w:val="00904A8C"/>
    <w:rsid w:val="00904A91"/>
    <w:rsid w:val="009077BA"/>
    <w:rsid w:val="0091254F"/>
    <w:rsid w:val="00912B29"/>
    <w:rsid w:val="00915859"/>
    <w:rsid w:val="0091594F"/>
    <w:rsid w:val="00917137"/>
    <w:rsid w:val="009202A0"/>
    <w:rsid w:val="00922111"/>
    <w:rsid w:val="009319C5"/>
    <w:rsid w:val="009319D9"/>
    <w:rsid w:val="00932C94"/>
    <w:rsid w:val="009346FE"/>
    <w:rsid w:val="00935C37"/>
    <w:rsid w:val="009374B7"/>
    <w:rsid w:val="00940BB3"/>
    <w:rsid w:val="0094123B"/>
    <w:rsid w:val="009414AF"/>
    <w:rsid w:val="009415D0"/>
    <w:rsid w:val="00941F7E"/>
    <w:rsid w:val="00943A7E"/>
    <w:rsid w:val="00944A9D"/>
    <w:rsid w:val="00953EAE"/>
    <w:rsid w:val="00955DF7"/>
    <w:rsid w:val="00955FF7"/>
    <w:rsid w:val="00963787"/>
    <w:rsid w:val="009645BE"/>
    <w:rsid w:val="00971979"/>
    <w:rsid w:val="0097252E"/>
    <w:rsid w:val="00973BFC"/>
    <w:rsid w:val="00974FD7"/>
    <w:rsid w:val="00975767"/>
    <w:rsid w:val="009764D7"/>
    <w:rsid w:val="0097674F"/>
    <w:rsid w:val="00976E40"/>
    <w:rsid w:val="00977038"/>
    <w:rsid w:val="00977131"/>
    <w:rsid w:val="0098398D"/>
    <w:rsid w:val="00983EE9"/>
    <w:rsid w:val="00986A57"/>
    <w:rsid w:val="00987D96"/>
    <w:rsid w:val="00990313"/>
    <w:rsid w:val="009916E5"/>
    <w:rsid w:val="0099684D"/>
    <w:rsid w:val="009971BD"/>
    <w:rsid w:val="009A2D0D"/>
    <w:rsid w:val="009A403C"/>
    <w:rsid w:val="009B0097"/>
    <w:rsid w:val="009B045C"/>
    <w:rsid w:val="009B17BB"/>
    <w:rsid w:val="009B1B17"/>
    <w:rsid w:val="009B3EFD"/>
    <w:rsid w:val="009B7D52"/>
    <w:rsid w:val="009C0676"/>
    <w:rsid w:val="009C4C34"/>
    <w:rsid w:val="009D04C0"/>
    <w:rsid w:val="009D0648"/>
    <w:rsid w:val="009D2385"/>
    <w:rsid w:val="009D47DE"/>
    <w:rsid w:val="009D4927"/>
    <w:rsid w:val="009E24E8"/>
    <w:rsid w:val="009E4DC3"/>
    <w:rsid w:val="009E68FA"/>
    <w:rsid w:val="009E7421"/>
    <w:rsid w:val="009E7C12"/>
    <w:rsid w:val="009F03F8"/>
    <w:rsid w:val="009F0F62"/>
    <w:rsid w:val="009F4159"/>
    <w:rsid w:val="009F4F2C"/>
    <w:rsid w:val="009F6079"/>
    <w:rsid w:val="009F683D"/>
    <w:rsid w:val="009F73A1"/>
    <w:rsid w:val="00A001C8"/>
    <w:rsid w:val="00A005C2"/>
    <w:rsid w:val="00A01D45"/>
    <w:rsid w:val="00A027D3"/>
    <w:rsid w:val="00A03255"/>
    <w:rsid w:val="00A06C30"/>
    <w:rsid w:val="00A14763"/>
    <w:rsid w:val="00A14E29"/>
    <w:rsid w:val="00A16270"/>
    <w:rsid w:val="00A16740"/>
    <w:rsid w:val="00A21141"/>
    <w:rsid w:val="00A22863"/>
    <w:rsid w:val="00A238AF"/>
    <w:rsid w:val="00A33058"/>
    <w:rsid w:val="00A37061"/>
    <w:rsid w:val="00A45F14"/>
    <w:rsid w:val="00A51B7E"/>
    <w:rsid w:val="00A55D56"/>
    <w:rsid w:val="00A5679E"/>
    <w:rsid w:val="00A56AC4"/>
    <w:rsid w:val="00A6306D"/>
    <w:rsid w:val="00A63997"/>
    <w:rsid w:val="00A6501D"/>
    <w:rsid w:val="00A7432B"/>
    <w:rsid w:val="00A752B3"/>
    <w:rsid w:val="00A762C2"/>
    <w:rsid w:val="00A84DFF"/>
    <w:rsid w:val="00A84EE9"/>
    <w:rsid w:val="00A864EF"/>
    <w:rsid w:val="00A8668D"/>
    <w:rsid w:val="00A87801"/>
    <w:rsid w:val="00A91BAE"/>
    <w:rsid w:val="00A926A5"/>
    <w:rsid w:val="00A95CE1"/>
    <w:rsid w:val="00A96081"/>
    <w:rsid w:val="00A9763F"/>
    <w:rsid w:val="00AA1592"/>
    <w:rsid w:val="00AA190B"/>
    <w:rsid w:val="00AA1F25"/>
    <w:rsid w:val="00AA2FB7"/>
    <w:rsid w:val="00AA72E3"/>
    <w:rsid w:val="00AA7593"/>
    <w:rsid w:val="00AA7936"/>
    <w:rsid w:val="00AB1ED0"/>
    <w:rsid w:val="00AB2413"/>
    <w:rsid w:val="00AB6461"/>
    <w:rsid w:val="00AB7269"/>
    <w:rsid w:val="00AB75E3"/>
    <w:rsid w:val="00AC1D3D"/>
    <w:rsid w:val="00AC3AFF"/>
    <w:rsid w:val="00AC5382"/>
    <w:rsid w:val="00AC6810"/>
    <w:rsid w:val="00AC6DAF"/>
    <w:rsid w:val="00AC7111"/>
    <w:rsid w:val="00AD5946"/>
    <w:rsid w:val="00AD772E"/>
    <w:rsid w:val="00AE01CC"/>
    <w:rsid w:val="00AE103B"/>
    <w:rsid w:val="00AE10DF"/>
    <w:rsid w:val="00AE2EB0"/>
    <w:rsid w:val="00AE3357"/>
    <w:rsid w:val="00AE676B"/>
    <w:rsid w:val="00AE6B75"/>
    <w:rsid w:val="00AF55EB"/>
    <w:rsid w:val="00AF7ED5"/>
    <w:rsid w:val="00B01333"/>
    <w:rsid w:val="00B0143C"/>
    <w:rsid w:val="00B01CBB"/>
    <w:rsid w:val="00B02234"/>
    <w:rsid w:val="00B06CF4"/>
    <w:rsid w:val="00B12D21"/>
    <w:rsid w:val="00B16BE6"/>
    <w:rsid w:val="00B20026"/>
    <w:rsid w:val="00B21052"/>
    <w:rsid w:val="00B219C1"/>
    <w:rsid w:val="00B225CA"/>
    <w:rsid w:val="00B23357"/>
    <w:rsid w:val="00B25B41"/>
    <w:rsid w:val="00B26469"/>
    <w:rsid w:val="00B30239"/>
    <w:rsid w:val="00B30DE5"/>
    <w:rsid w:val="00B321C3"/>
    <w:rsid w:val="00B33F37"/>
    <w:rsid w:val="00B36DFC"/>
    <w:rsid w:val="00B37615"/>
    <w:rsid w:val="00B40B97"/>
    <w:rsid w:val="00B426B9"/>
    <w:rsid w:val="00B43BB2"/>
    <w:rsid w:val="00B46DE8"/>
    <w:rsid w:val="00B474AC"/>
    <w:rsid w:val="00B50477"/>
    <w:rsid w:val="00B504C7"/>
    <w:rsid w:val="00B51B88"/>
    <w:rsid w:val="00B53338"/>
    <w:rsid w:val="00B54783"/>
    <w:rsid w:val="00B561A5"/>
    <w:rsid w:val="00B605B4"/>
    <w:rsid w:val="00B613B7"/>
    <w:rsid w:val="00B64096"/>
    <w:rsid w:val="00B6778D"/>
    <w:rsid w:val="00B70E60"/>
    <w:rsid w:val="00B722E5"/>
    <w:rsid w:val="00B7285A"/>
    <w:rsid w:val="00B7302D"/>
    <w:rsid w:val="00B75A33"/>
    <w:rsid w:val="00B768A4"/>
    <w:rsid w:val="00B76A08"/>
    <w:rsid w:val="00B81835"/>
    <w:rsid w:val="00B82048"/>
    <w:rsid w:val="00B82789"/>
    <w:rsid w:val="00B86097"/>
    <w:rsid w:val="00B87198"/>
    <w:rsid w:val="00B95FA4"/>
    <w:rsid w:val="00B97119"/>
    <w:rsid w:val="00BA0357"/>
    <w:rsid w:val="00BA2A1C"/>
    <w:rsid w:val="00BA693D"/>
    <w:rsid w:val="00BA71EC"/>
    <w:rsid w:val="00BA78BC"/>
    <w:rsid w:val="00BA7C4E"/>
    <w:rsid w:val="00BB3F36"/>
    <w:rsid w:val="00BB4C0F"/>
    <w:rsid w:val="00BB6BF3"/>
    <w:rsid w:val="00BB735E"/>
    <w:rsid w:val="00BB77AB"/>
    <w:rsid w:val="00BC2B1A"/>
    <w:rsid w:val="00BC2F9B"/>
    <w:rsid w:val="00BC662F"/>
    <w:rsid w:val="00BD316E"/>
    <w:rsid w:val="00BD5810"/>
    <w:rsid w:val="00BE2EDA"/>
    <w:rsid w:val="00BE6AB5"/>
    <w:rsid w:val="00BE6E43"/>
    <w:rsid w:val="00BF17D6"/>
    <w:rsid w:val="00BF1E95"/>
    <w:rsid w:val="00BF64E9"/>
    <w:rsid w:val="00BF6C39"/>
    <w:rsid w:val="00BF7561"/>
    <w:rsid w:val="00C00B3F"/>
    <w:rsid w:val="00C0179F"/>
    <w:rsid w:val="00C0465F"/>
    <w:rsid w:val="00C14616"/>
    <w:rsid w:val="00C148B8"/>
    <w:rsid w:val="00C15569"/>
    <w:rsid w:val="00C16994"/>
    <w:rsid w:val="00C1707E"/>
    <w:rsid w:val="00C1730B"/>
    <w:rsid w:val="00C23A1B"/>
    <w:rsid w:val="00C302EA"/>
    <w:rsid w:val="00C32004"/>
    <w:rsid w:val="00C3374C"/>
    <w:rsid w:val="00C34276"/>
    <w:rsid w:val="00C37436"/>
    <w:rsid w:val="00C374FD"/>
    <w:rsid w:val="00C3795C"/>
    <w:rsid w:val="00C4115D"/>
    <w:rsid w:val="00C43BF7"/>
    <w:rsid w:val="00C46C5B"/>
    <w:rsid w:val="00C5198C"/>
    <w:rsid w:val="00C538A1"/>
    <w:rsid w:val="00C559E5"/>
    <w:rsid w:val="00C55E87"/>
    <w:rsid w:val="00C62C90"/>
    <w:rsid w:val="00C63C03"/>
    <w:rsid w:val="00C64086"/>
    <w:rsid w:val="00C65E87"/>
    <w:rsid w:val="00C665A8"/>
    <w:rsid w:val="00C67F49"/>
    <w:rsid w:val="00C70F28"/>
    <w:rsid w:val="00C70FBA"/>
    <w:rsid w:val="00C72DF3"/>
    <w:rsid w:val="00C740CE"/>
    <w:rsid w:val="00C744E4"/>
    <w:rsid w:val="00C74746"/>
    <w:rsid w:val="00C7521D"/>
    <w:rsid w:val="00C756C5"/>
    <w:rsid w:val="00C7583E"/>
    <w:rsid w:val="00C81B2A"/>
    <w:rsid w:val="00C86C66"/>
    <w:rsid w:val="00C93C0C"/>
    <w:rsid w:val="00C958C6"/>
    <w:rsid w:val="00C961D4"/>
    <w:rsid w:val="00C96590"/>
    <w:rsid w:val="00C96BC4"/>
    <w:rsid w:val="00C9745E"/>
    <w:rsid w:val="00CA6CCC"/>
    <w:rsid w:val="00CB5E28"/>
    <w:rsid w:val="00CB7621"/>
    <w:rsid w:val="00CC1D13"/>
    <w:rsid w:val="00CC1EB0"/>
    <w:rsid w:val="00CC1F4B"/>
    <w:rsid w:val="00CC7742"/>
    <w:rsid w:val="00CD2225"/>
    <w:rsid w:val="00CE133F"/>
    <w:rsid w:val="00CE15F2"/>
    <w:rsid w:val="00CE2253"/>
    <w:rsid w:val="00CE2587"/>
    <w:rsid w:val="00CE470A"/>
    <w:rsid w:val="00CE4755"/>
    <w:rsid w:val="00CE4FEC"/>
    <w:rsid w:val="00CE6996"/>
    <w:rsid w:val="00CE7F3E"/>
    <w:rsid w:val="00CF1B6B"/>
    <w:rsid w:val="00CF2542"/>
    <w:rsid w:val="00CF44AE"/>
    <w:rsid w:val="00CF5144"/>
    <w:rsid w:val="00CF6D18"/>
    <w:rsid w:val="00CF6DC0"/>
    <w:rsid w:val="00D00E80"/>
    <w:rsid w:val="00D04D02"/>
    <w:rsid w:val="00D04DE7"/>
    <w:rsid w:val="00D078C6"/>
    <w:rsid w:val="00D07B9C"/>
    <w:rsid w:val="00D10E8A"/>
    <w:rsid w:val="00D11791"/>
    <w:rsid w:val="00D1447D"/>
    <w:rsid w:val="00D1511D"/>
    <w:rsid w:val="00D21401"/>
    <w:rsid w:val="00D21E88"/>
    <w:rsid w:val="00D22150"/>
    <w:rsid w:val="00D224D4"/>
    <w:rsid w:val="00D23D27"/>
    <w:rsid w:val="00D25119"/>
    <w:rsid w:val="00D35B60"/>
    <w:rsid w:val="00D40A16"/>
    <w:rsid w:val="00D43FB4"/>
    <w:rsid w:val="00D443D5"/>
    <w:rsid w:val="00D444F6"/>
    <w:rsid w:val="00D445D5"/>
    <w:rsid w:val="00D458E8"/>
    <w:rsid w:val="00D47226"/>
    <w:rsid w:val="00D50D54"/>
    <w:rsid w:val="00D538FC"/>
    <w:rsid w:val="00D53E49"/>
    <w:rsid w:val="00D548AF"/>
    <w:rsid w:val="00D55A56"/>
    <w:rsid w:val="00D55AFB"/>
    <w:rsid w:val="00D636E0"/>
    <w:rsid w:val="00D6474A"/>
    <w:rsid w:val="00D649B5"/>
    <w:rsid w:val="00D663E3"/>
    <w:rsid w:val="00D670CA"/>
    <w:rsid w:val="00D728EF"/>
    <w:rsid w:val="00D743A2"/>
    <w:rsid w:val="00D76E9C"/>
    <w:rsid w:val="00D81206"/>
    <w:rsid w:val="00D81846"/>
    <w:rsid w:val="00D81DE3"/>
    <w:rsid w:val="00D82319"/>
    <w:rsid w:val="00D831B4"/>
    <w:rsid w:val="00D83D68"/>
    <w:rsid w:val="00D844F6"/>
    <w:rsid w:val="00D8668F"/>
    <w:rsid w:val="00D868BE"/>
    <w:rsid w:val="00D9032A"/>
    <w:rsid w:val="00D93712"/>
    <w:rsid w:val="00D93F85"/>
    <w:rsid w:val="00D96299"/>
    <w:rsid w:val="00D96325"/>
    <w:rsid w:val="00D978B7"/>
    <w:rsid w:val="00DA0FF1"/>
    <w:rsid w:val="00DA381B"/>
    <w:rsid w:val="00DA4FDE"/>
    <w:rsid w:val="00DA52E1"/>
    <w:rsid w:val="00DA6927"/>
    <w:rsid w:val="00DA75ED"/>
    <w:rsid w:val="00DB46D0"/>
    <w:rsid w:val="00DB5BB9"/>
    <w:rsid w:val="00DB6602"/>
    <w:rsid w:val="00DC13CF"/>
    <w:rsid w:val="00DC1DD9"/>
    <w:rsid w:val="00DC252E"/>
    <w:rsid w:val="00DC28FF"/>
    <w:rsid w:val="00DC42CD"/>
    <w:rsid w:val="00DC50F8"/>
    <w:rsid w:val="00DC6142"/>
    <w:rsid w:val="00DC6BA6"/>
    <w:rsid w:val="00DD07A5"/>
    <w:rsid w:val="00DD0E8A"/>
    <w:rsid w:val="00DD3B00"/>
    <w:rsid w:val="00DD60F1"/>
    <w:rsid w:val="00DD69BD"/>
    <w:rsid w:val="00DD6D6B"/>
    <w:rsid w:val="00DE0DE5"/>
    <w:rsid w:val="00DE154D"/>
    <w:rsid w:val="00DE723C"/>
    <w:rsid w:val="00DE7C6D"/>
    <w:rsid w:val="00DF28D6"/>
    <w:rsid w:val="00DF66A7"/>
    <w:rsid w:val="00DF6726"/>
    <w:rsid w:val="00DF79B0"/>
    <w:rsid w:val="00E032B6"/>
    <w:rsid w:val="00E07E51"/>
    <w:rsid w:val="00E1139C"/>
    <w:rsid w:val="00E119AC"/>
    <w:rsid w:val="00E13379"/>
    <w:rsid w:val="00E15C47"/>
    <w:rsid w:val="00E16B1E"/>
    <w:rsid w:val="00E22D84"/>
    <w:rsid w:val="00E24798"/>
    <w:rsid w:val="00E25D34"/>
    <w:rsid w:val="00E35329"/>
    <w:rsid w:val="00E35994"/>
    <w:rsid w:val="00E46FB9"/>
    <w:rsid w:val="00E51C90"/>
    <w:rsid w:val="00E55BE5"/>
    <w:rsid w:val="00E55E74"/>
    <w:rsid w:val="00E577DE"/>
    <w:rsid w:val="00E57AA6"/>
    <w:rsid w:val="00E60AA3"/>
    <w:rsid w:val="00E62FC6"/>
    <w:rsid w:val="00E6328E"/>
    <w:rsid w:val="00E64A70"/>
    <w:rsid w:val="00E65165"/>
    <w:rsid w:val="00E65E0F"/>
    <w:rsid w:val="00E70B0B"/>
    <w:rsid w:val="00E7310A"/>
    <w:rsid w:val="00E73C14"/>
    <w:rsid w:val="00E75CF7"/>
    <w:rsid w:val="00E810B2"/>
    <w:rsid w:val="00E82188"/>
    <w:rsid w:val="00E826EC"/>
    <w:rsid w:val="00E83B02"/>
    <w:rsid w:val="00E9111E"/>
    <w:rsid w:val="00E9133A"/>
    <w:rsid w:val="00E926E3"/>
    <w:rsid w:val="00E926EE"/>
    <w:rsid w:val="00E94F72"/>
    <w:rsid w:val="00E96F02"/>
    <w:rsid w:val="00EA17FB"/>
    <w:rsid w:val="00EA399F"/>
    <w:rsid w:val="00EA45FB"/>
    <w:rsid w:val="00EA5E72"/>
    <w:rsid w:val="00EA70F6"/>
    <w:rsid w:val="00EB01E4"/>
    <w:rsid w:val="00EB0C0A"/>
    <w:rsid w:val="00EB1784"/>
    <w:rsid w:val="00EB1C16"/>
    <w:rsid w:val="00EB229A"/>
    <w:rsid w:val="00EB56C6"/>
    <w:rsid w:val="00EB5BF9"/>
    <w:rsid w:val="00EB7A6A"/>
    <w:rsid w:val="00EC0E0C"/>
    <w:rsid w:val="00EC5653"/>
    <w:rsid w:val="00ED0204"/>
    <w:rsid w:val="00ED0A33"/>
    <w:rsid w:val="00ED0BCD"/>
    <w:rsid w:val="00ED13D8"/>
    <w:rsid w:val="00ED1619"/>
    <w:rsid w:val="00ED1CE8"/>
    <w:rsid w:val="00ED1DCB"/>
    <w:rsid w:val="00ED2352"/>
    <w:rsid w:val="00ED3122"/>
    <w:rsid w:val="00ED67E2"/>
    <w:rsid w:val="00EE1844"/>
    <w:rsid w:val="00EE3851"/>
    <w:rsid w:val="00EE3A3C"/>
    <w:rsid w:val="00EE4320"/>
    <w:rsid w:val="00EE5946"/>
    <w:rsid w:val="00EE63FD"/>
    <w:rsid w:val="00EE7103"/>
    <w:rsid w:val="00EE723F"/>
    <w:rsid w:val="00EF03E3"/>
    <w:rsid w:val="00EF1D6A"/>
    <w:rsid w:val="00EF749B"/>
    <w:rsid w:val="00EF7F7B"/>
    <w:rsid w:val="00F022BF"/>
    <w:rsid w:val="00F03A13"/>
    <w:rsid w:val="00F10963"/>
    <w:rsid w:val="00F1223A"/>
    <w:rsid w:val="00F12B46"/>
    <w:rsid w:val="00F15C00"/>
    <w:rsid w:val="00F21166"/>
    <w:rsid w:val="00F2326E"/>
    <w:rsid w:val="00F23DA9"/>
    <w:rsid w:val="00F25776"/>
    <w:rsid w:val="00F25A0F"/>
    <w:rsid w:val="00F3040A"/>
    <w:rsid w:val="00F326F6"/>
    <w:rsid w:val="00F3275B"/>
    <w:rsid w:val="00F33F44"/>
    <w:rsid w:val="00F34B3C"/>
    <w:rsid w:val="00F37E45"/>
    <w:rsid w:val="00F41461"/>
    <w:rsid w:val="00F41C2A"/>
    <w:rsid w:val="00F42996"/>
    <w:rsid w:val="00F433D2"/>
    <w:rsid w:val="00F44155"/>
    <w:rsid w:val="00F44E4D"/>
    <w:rsid w:val="00F532A8"/>
    <w:rsid w:val="00F657C8"/>
    <w:rsid w:val="00F66CEA"/>
    <w:rsid w:val="00F673CE"/>
    <w:rsid w:val="00F67AC9"/>
    <w:rsid w:val="00F7260C"/>
    <w:rsid w:val="00F7351E"/>
    <w:rsid w:val="00F74A3F"/>
    <w:rsid w:val="00F74FE8"/>
    <w:rsid w:val="00F75749"/>
    <w:rsid w:val="00F75A48"/>
    <w:rsid w:val="00F76F3B"/>
    <w:rsid w:val="00F823C1"/>
    <w:rsid w:val="00F83854"/>
    <w:rsid w:val="00F868F0"/>
    <w:rsid w:val="00F871D7"/>
    <w:rsid w:val="00F9037D"/>
    <w:rsid w:val="00F90F5B"/>
    <w:rsid w:val="00F917DE"/>
    <w:rsid w:val="00F91FD1"/>
    <w:rsid w:val="00F92396"/>
    <w:rsid w:val="00F92F85"/>
    <w:rsid w:val="00F93BAD"/>
    <w:rsid w:val="00F93E77"/>
    <w:rsid w:val="00F94327"/>
    <w:rsid w:val="00F945BD"/>
    <w:rsid w:val="00F95620"/>
    <w:rsid w:val="00F96FF7"/>
    <w:rsid w:val="00FA1392"/>
    <w:rsid w:val="00FA31A4"/>
    <w:rsid w:val="00FA3C71"/>
    <w:rsid w:val="00FA62DB"/>
    <w:rsid w:val="00FA7103"/>
    <w:rsid w:val="00FA714D"/>
    <w:rsid w:val="00FA7768"/>
    <w:rsid w:val="00FB10D2"/>
    <w:rsid w:val="00FB2C3A"/>
    <w:rsid w:val="00FB4C91"/>
    <w:rsid w:val="00FB5F79"/>
    <w:rsid w:val="00FB6047"/>
    <w:rsid w:val="00FB7CC0"/>
    <w:rsid w:val="00FC0F50"/>
    <w:rsid w:val="00FC2209"/>
    <w:rsid w:val="00FC2BF2"/>
    <w:rsid w:val="00FC3584"/>
    <w:rsid w:val="00FC3AE3"/>
    <w:rsid w:val="00FC4AA8"/>
    <w:rsid w:val="00FC4BD9"/>
    <w:rsid w:val="00FC554F"/>
    <w:rsid w:val="00FC7CFE"/>
    <w:rsid w:val="00FD0108"/>
    <w:rsid w:val="00FD5932"/>
    <w:rsid w:val="00FD6FC1"/>
    <w:rsid w:val="00FE08CC"/>
    <w:rsid w:val="00FE1574"/>
    <w:rsid w:val="00FE2825"/>
    <w:rsid w:val="00FE29B6"/>
    <w:rsid w:val="00FE3DF7"/>
    <w:rsid w:val="00FE3F15"/>
    <w:rsid w:val="00FE5AC8"/>
    <w:rsid w:val="00FE6863"/>
    <w:rsid w:val="00FE6937"/>
    <w:rsid w:val="00FE714E"/>
    <w:rsid w:val="00FE79E0"/>
    <w:rsid w:val="00FF0283"/>
    <w:rsid w:val="00FF036A"/>
    <w:rsid w:val="00FF0E42"/>
    <w:rsid w:val="00FF186E"/>
    <w:rsid w:val="00FF2CB5"/>
    <w:rsid w:val="00FF336C"/>
    <w:rsid w:val="00FF450E"/>
    <w:rsid w:val="00FF52FC"/>
    <w:rsid w:val="00FF61E8"/>
    <w:rsid w:val="00FF6C4F"/>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toc 1" w:uiPriority="39" w:qFormat="1"/>
    <w:lsdException w:name="toc 2" w:uiPriority="39" w:qFormat="1"/>
    <w:lsdException w:name="Normal Indent" w:qFormat="1"/>
    <w:lsdException w:name="footer" w:qFormat="1"/>
    <w:lsdException w:name="caption" w:semiHidden="1"/>
    <w:lsdException w:name="page number" w:qFormat="1"/>
    <w:lsdException w:name="Title" w:qFormat="1"/>
    <w:lsdException w:name="Default Paragraph Font" w:uiPriority="1"/>
    <w:lsdException w:name="Body Text" w:qFormat="1"/>
    <w:lsdException w:name="Body Tex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990313"/>
    <w:pPr>
      <w:spacing w:before="100" w:line="288" w:lineRule="auto"/>
    </w:pPr>
  </w:style>
  <w:style w:type="paragraph" w:styleId="Heading1">
    <w:name w:val="heading 1"/>
    <w:basedOn w:val="Normal"/>
    <w:next w:val="Normal"/>
    <w:semiHidden/>
    <w:rsid w:val="00990313"/>
    <w:pPr>
      <w:outlineLvl w:val="0"/>
    </w:pPr>
  </w:style>
  <w:style w:type="paragraph" w:styleId="Heading2">
    <w:name w:val="heading 2"/>
    <w:basedOn w:val="Normal"/>
    <w:next w:val="NormalIndent"/>
    <w:semiHidden/>
    <w:rsid w:val="00990313"/>
    <w:pPr>
      <w:outlineLvl w:val="1"/>
    </w:pPr>
  </w:style>
  <w:style w:type="paragraph" w:styleId="Heading3">
    <w:name w:val="heading 3"/>
    <w:basedOn w:val="Normal"/>
    <w:semiHidden/>
    <w:rsid w:val="00990313"/>
    <w:pPr>
      <w:outlineLvl w:val="2"/>
    </w:pPr>
  </w:style>
  <w:style w:type="paragraph" w:styleId="Heading4">
    <w:name w:val="heading 4"/>
    <w:basedOn w:val="Normal"/>
    <w:semiHidden/>
    <w:rsid w:val="00990313"/>
    <w:pPr>
      <w:outlineLvl w:val="3"/>
    </w:pPr>
  </w:style>
  <w:style w:type="paragraph" w:styleId="Heading5">
    <w:name w:val="heading 5"/>
    <w:basedOn w:val="Normal"/>
    <w:semiHidden/>
    <w:rsid w:val="00990313"/>
    <w:pPr>
      <w:outlineLvl w:val="4"/>
    </w:pPr>
  </w:style>
  <w:style w:type="paragraph" w:styleId="Heading6">
    <w:name w:val="heading 6"/>
    <w:basedOn w:val="Normal"/>
    <w:semiHidden/>
    <w:rsid w:val="00990313"/>
    <w:pPr>
      <w:outlineLvl w:val="5"/>
    </w:pPr>
  </w:style>
  <w:style w:type="paragraph" w:styleId="Heading7">
    <w:name w:val="heading 7"/>
    <w:basedOn w:val="Normal"/>
    <w:next w:val="Normal"/>
    <w:semiHidden/>
    <w:rsid w:val="00990313"/>
    <w:pPr>
      <w:outlineLvl w:val="6"/>
    </w:pPr>
  </w:style>
  <w:style w:type="paragraph" w:styleId="Heading8">
    <w:name w:val="heading 8"/>
    <w:basedOn w:val="Normal"/>
    <w:next w:val="Normal"/>
    <w:semiHidden/>
    <w:rsid w:val="00990313"/>
    <w:pPr>
      <w:outlineLvl w:val="7"/>
    </w:pPr>
  </w:style>
  <w:style w:type="paragraph" w:styleId="Heading9">
    <w:name w:val="heading 9"/>
    <w:basedOn w:val="Normal"/>
    <w:next w:val="Normal"/>
    <w:semiHidden/>
    <w:rsid w:val="009903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990313"/>
    <w:pPr>
      <w:ind w:left="709"/>
    </w:pPr>
  </w:style>
  <w:style w:type="character" w:customStyle="1" w:styleId="AuthorNote">
    <w:name w:val="Author Note"/>
    <w:aliases w:val="AN"/>
    <w:uiPriority w:val="1"/>
    <w:qFormat/>
    <w:rsid w:val="00990313"/>
    <w:rPr>
      <w:rFonts w:ascii="Arial" w:hAnsi="Arial"/>
      <w:b/>
      <w:vanish/>
      <w:color w:val="0074BF"/>
      <w:sz w:val="20"/>
    </w:rPr>
  </w:style>
  <w:style w:type="paragraph" w:styleId="BodyText">
    <w:name w:val="Body Text"/>
    <w:basedOn w:val="Normal"/>
    <w:qFormat/>
    <w:rsid w:val="00990313"/>
    <w:pPr>
      <w:spacing w:before="0" w:line="240" w:lineRule="auto"/>
    </w:pPr>
  </w:style>
  <w:style w:type="paragraph" w:styleId="BodyTextIndent">
    <w:name w:val="Body Text Indent"/>
    <w:basedOn w:val="BodyText"/>
    <w:qFormat/>
    <w:rsid w:val="00990313"/>
    <w:pPr>
      <w:ind w:left="709"/>
    </w:pPr>
  </w:style>
  <w:style w:type="paragraph" w:customStyle="1" w:styleId="Bullet1">
    <w:name w:val="Bullet 1"/>
    <w:basedOn w:val="Normal"/>
    <w:qFormat/>
    <w:rsid w:val="00990313"/>
    <w:pPr>
      <w:numPr>
        <w:numId w:val="1"/>
      </w:numPr>
    </w:pPr>
  </w:style>
  <w:style w:type="paragraph" w:customStyle="1" w:styleId="Bullet2">
    <w:name w:val="Bullet 2"/>
    <w:basedOn w:val="Normal"/>
    <w:qFormat/>
    <w:rsid w:val="00990313"/>
    <w:pPr>
      <w:numPr>
        <w:numId w:val="2"/>
      </w:numPr>
    </w:pPr>
  </w:style>
  <w:style w:type="paragraph" w:customStyle="1" w:styleId="Bullet3">
    <w:name w:val="Bullet 3"/>
    <w:basedOn w:val="Normal"/>
    <w:qFormat/>
    <w:rsid w:val="00990313"/>
    <w:pPr>
      <w:numPr>
        <w:numId w:val="3"/>
      </w:numPr>
    </w:pPr>
  </w:style>
  <w:style w:type="paragraph" w:styleId="Footer">
    <w:name w:val="footer"/>
    <w:basedOn w:val="Normal"/>
    <w:qFormat/>
    <w:rsid w:val="00990313"/>
    <w:pPr>
      <w:spacing w:before="40" w:line="240" w:lineRule="auto"/>
    </w:pPr>
    <w:rPr>
      <w:noProof/>
      <w:sz w:val="16"/>
    </w:rPr>
  </w:style>
  <w:style w:type="paragraph" w:customStyle="1" w:styleId="Definitions">
    <w:name w:val="Definitions"/>
    <w:basedOn w:val="NormalIndent"/>
    <w:qFormat/>
    <w:rsid w:val="00990313"/>
    <w:pPr>
      <w:numPr>
        <w:numId w:val="10"/>
      </w:numPr>
      <w:ind w:left="709" w:firstLine="0"/>
    </w:pPr>
  </w:style>
  <w:style w:type="paragraph" w:customStyle="1" w:styleId="GNHeading">
    <w:name w:val="GN Heading"/>
    <w:basedOn w:val="Normal"/>
    <w:next w:val="GNNormalIndent"/>
    <w:uiPriority w:val="1"/>
    <w:qFormat/>
    <w:rsid w:val="00990313"/>
    <w:pPr>
      <w:keepNext/>
      <w:numPr>
        <w:numId w:val="7"/>
      </w:numPr>
      <w:spacing w:before="200" w:line="240" w:lineRule="auto"/>
    </w:pPr>
    <w:rPr>
      <w:b/>
      <w:vanish/>
      <w:color w:val="000080"/>
    </w:rPr>
  </w:style>
  <w:style w:type="paragraph" w:customStyle="1" w:styleId="GNNormalIndent">
    <w:name w:val="GN Normal Indent"/>
    <w:basedOn w:val="GNNormal"/>
    <w:uiPriority w:val="1"/>
    <w:qFormat/>
    <w:rsid w:val="00990313"/>
    <w:pPr>
      <w:ind w:left="709"/>
    </w:pPr>
  </w:style>
  <w:style w:type="paragraph" w:customStyle="1" w:styleId="GNNormal">
    <w:name w:val="GN Normal"/>
    <w:basedOn w:val="Normal"/>
    <w:uiPriority w:val="1"/>
    <w:qFormat/>
    <w:rsid w:val="00990313"/>
    <w:pPr>
      <w:spacing w:line="240" w:lineRule="auto"/>
    </w:pPr>
    <w:rPr>
      <w:vanish/>
      <w:color w:val="000080"/>
    </w:rPr>
  </w:style>
  <w:style w:type="paragraph" w:customStyle="1" w:styleId="GNLevel1">
    <w:name w:val="GN Level 1"/>
    <w:basedOn w:val="Normal"/>
    <w:uiPriority w:val="1"/>
    <w:qFormat/>
    <w:rsid w:val="00990313"/>
    <w:pPr>
      <w:numPr>
        <w:numId w:val="4"/>
      </w:numPr>
      <w:spacing w:line="240" w:lineRule="auto"/>
    </w:pPr>
    <w:rPr>
      <w:vanish/>
      <w:color w:val="000080"/>
    </w:rPr>
  </w:style>
  <w:style w:type="paragraph" w:customStyle="1" w:styleId="GNLevel2">
    <w:name w:val="GN Level 2"/>
    <w:basedOn w:val="Normal"/>
    <w:uiPriority w:val="1"/>
    <w:qFormat/>
    <w:rsid w:val="00990313"/>
    <w:pPr>
      <w:numPr>
        <w:ilvl w:val="1"/>
        <w:numId w:val="4"/>
      </w:numPr>
      <w:spacing w:line="240" w:lineRule="auto"/>
    </w:pPr>
    <w:rPr>
      <w:vanish/>
      <w:color w:val="000080"/>
    </w:rPr>
  </w:style>
  <w:style w:type="paragraph" w:styleId="Header">
    <w:name w:val="header"/>
    <w:basedOn w:val="Normal"/>
    <w:semiHidden/>
    <w:rsid w:val="00990313"/>
    <w:pPr>
      <w:spacing w:before="0" w:line="240" w:lineRule="auto"/>
    </w:pPr>
    <w:rPr>
      <w:noProof/>
      <w:sz w:val="16"/>
    </w:rPr>
  </w:style>
  <w:style w:type="paragraph" w:customStyle="1" w:styleId="HeaderTitle">
    <w:name w:val="Header Title"/>
    <w:basedOn w:val="Normal"/>
    <w:qFormat/>
    <w:rsid w:val="00990313"/>
    <w:pPr>
      <w:spacing w:line="240" w:lineRule="auto"/>
    </w:pPr>
    <w:rPr>
      <w:noProof/>
    </w:rPr>
  </w:style>
  <w:style w:type="paragraph" w:customStyle="1" w:styleId="Definitionsa">
    <w:name w:val="Definitions (a)"/>
    <w:basedOn w:val="Normal"/>
    <w:qFormat/>
    <w:rsid w:val="00990313"/>
    <w:pPr>
      <w:numPr>
        <w:ilvl w:val="1"/>
        <w:numId w:val="10"/>
      </w:numPr>
    </w:pPr>
  </w:style>
  <w:style w:type="paragraph" w:customStyle="1" w:styleId="level1">
    <w:name w:val="level1"/>
    <w:basedOn w:val="Normal"/>
    <w:qFormat/>
    <w:rsid w:val="00990313"/>
    <w:pPr>
      <w:numPr>
        <w:numId w:val="8"/>
      </w:numPr>
    </w:pPr>
  </w:style>
  <w:style w:type="paragraph" w:customStyle="1" w:styleId="level2">
    <w:name w:val="level2"/>
    <w:basedOn w:val="Normal"/>
    <w:qFormat/>
    <w:rsid w:val="00990313"/>
    <w:pPr>
      <w:numPr>
        <w:ilvl w:val="1"/>
        <w:numId w:val="8"/>
      </w:numPr>
    </w:pPr>
  </w:style>
  <w:style w:type="paragraph" w:customStyle="1" w:styleId="level3">
    <w:name w:val="level3"/>
    <w:basedOn w:val="Normal"/>
    <w:qFormat/>
    <w:rsid w:val="00990313"/>
    <w:pPr>
      <w:numPr>
        <w:ilvl w:val="2"/>
        <w:numId w:val="8"/>
      </w:numPr>
    </w:pPr>
  </w:style>
  <w:style w:type="paragraph" w:customStyle="1" w:styleId="level4">
    <w:name w:val="level4"/>
    <w:basedOn w:val="Normal"/>
    <w:qFormat/>
    <w:rsid w:val="00990313"/>
    <w:pPr>
      <w:numPr>
        <w:ilvl w:val="3"/>
        <w:numId w:val="8"/>
      </w:numPr>
    </w:pPr>
  </w:style>
  <w:style w:type="paragraph" w:customStyle="1" w:styleId="level5">
    <w:name w:val="level5"/>
    <w:basedOn w:val="Normal"/>
    <w:qFormat/>
    <w:rsid w:val="00990313"/>
    <w:pPr>
      <w:numPr>
        <w:ilvl w:val="4"/>
        <w:numId w:val="8"/>
      </w:numPr>
    </w:pPr>
  </w:style>
  <w:style w:type="paragraph" w:customStyle="1" w:styleId="level6">
    <w:name w:val="level6"/>
    <w:basedOn w:val="Normal"/>
    <w:qFormat/>
    <w:rsid w:val="00990313"/>
    <w:pPr>
      <w:numPr>
        <w:ilvl w:val="5"/>
        <w:numId w:val="8"/>
      </w:numPr>
    </w:pPr>
  </w:style>
  <w:style w:type="character" w:styleId="PageNumber">
    <w:name w:val="page number"/>
    <w:semiHidden/>
    <w:qFormat/>
    <w:rsid w:val="00990313"/>
    <w:rPr>
      <w:sz w:val="16"/>
    </w:rPr>
  </w:style>
  <w:style w:type="character" w:styleId="Hyperlink">
    <w:name w:val="Hyperlink"/>
    <w:uiPriority w:val="99"/>
    <w:rsid w:val="00990313"/>
    <w:rPr>
      <w:color w:val="0000FF"/>
      <w:u w:val="single"/>
    </w:rPr>
  </w:style>
  <w:style w:type="paragraph" w:customStyle="1" w:styleId="Schedule">
    <w:name w:val="Schedule"/>
    <w:basedOn w:val="Normal"/>
    <w:next w:val="ScheduleHeading"/>
    <w:qFormat/>
    <w:rsid w:val="00990313"/>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990313"/>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990313"/>
    <w:pPr>
      <w:keepNext/>
      <w:numPr>
        <w:ilvl w:val="2"/>
        <w:numId w:val="6"/>
      </w:numPr>
      <w:spacing w:before="200"/>
    </w:pPr>
    <w:rPr>
      <w:b/>
      <w:sz w:val="22"/>
    </w:rPr>
  </w:style>
  <w:style w:type="paragraph" w:customStyle="1" w:styleId="Schedule2">
    <w:name w:val="Schedule 2"/>
    <w:basedOn w:val="Normal"/>
    <w:next w:val="NormalIndent"/>
    <w:qFormat/>
    <w:rsid w:val="00990313"/>
    <w:pPr>
      <w:keepNext/>
      <w:numPr>
        <w:ilvl w:val="3"/>
        <w:numId w:val="6"/>
      </w:numPr>
      <w:spacing w:before="160"/>
    </w:pPr>
    <w:rPr>
      <w:b/>
      <w:sz w:val="21"/>
    </w:rPr>
  </w:style>
  <w:style w:type="paragraph" w:customStyle="1" w:styleId="Schedule3">
    <w:name w:val="Schedule 3"/>
    <w:basedOn w:val="Normal"/>
    <w:qFormat/>
    <w:rsid w:val="00990313"/>
    <w:pPr>
      <w:numPr>
        <w:ilvl w:val="4"/>
        <w:numId w:val="6"/>
      </w:numPr>
    </w:pPr>
  </w:style>
  <w:style w:type="paragraph" w:customStyle="1" w:styleId="Schedule4">
    <w:name w:val="Schedule 4"/>
    <w:basedOn w:val="Normal"/>
    <w:qFormat/>
    <w:rsid w:val="00990313"/>
    <w:pPr>
      <w:numPr>
        <w:ilvl w:val="5"/>
        <w:numId w:val="6"/>
      </w:numPr>
    </w:pPr>
  </w:style>
  <w:style w:type="paragraph" w:customStyle="1" w:styleId="Schedule5">
    <w:name w:val="Schedule 5"/>
    <w:basedOn w:val="Normal"/>
    <w:qFormat/>
    <w:rsid w:val="00990313"/>
    <w:pPr>
      <w:numPr>
        <w:ilvl w:val="6"/>
        <w:numId w:val="6"/>
      </w:numPr>
    </w:pPr>
  </w:style>
  <w:style w:type="paragraph" w:customStyle="1" w:styleId="Schedule6">
    <w:name w:val="Schedule 6"/>
    <w:basedOn w:val="Normal"/>
    <w:qFormat/>
    <w:rsid w:val="00990313"/>
    <w:pPr>
      <w:numPr>
        <w:ilvl w:val="7"/>
        <w:numId w:val="6"/>
      </w:numPr>
    </w:pPr>
  </w:style>
  <w:style w:type="paragraph" w:styleId="Title">
    <w:name w:val="Title"/>
    <w:basedOn w:val="Normal"/>
    <w:qFormat/>
    <w:rsid w:val="00990313"/>
    <w:pPr>
      <w:keepNext/>
      <w:spacing w:before="0" w:after="60"/>
    </w:pPr>
    <w:rPr>
      <w:sz w:val="32"/>
    </w:rPr>
  </w:style>
  <w:style w:type="paragraph" w:styleId="TOC1">
    <w:name w:val="toc 1"/>
    <w:basedOn w:val="Normal"/>
    <w:next w:val="TOC2"/>
    <w:autoRedefine/>
    <w:uiPriority w:val="39"/>
    <w:qFormat/>
    <w:rsid w:val="00990313"/>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990313"/>
    <w:pPr>
      <w:tabs>
        <w:tab w:val="right" w:pos="9354"/>
      </w:tabs>
      <w:spacing w:before="60" w:line="240" w:lineRule="auto"/>
      <w:ind w:left="1418" w:hanging="709"/>
    </w:pPr>
    <w:rPr>
      <w:noProof/>
      <w:lang w:eastAsia="en-US"/>
    </w:rPr>
  </w:style>
  <w:style w:type="paragraph" w:styleId="TOC3">
    <w:name w:val="toc 3"/>
    <w:basedOn w:val="Normal"/>
    <w:autoRedefine/>
    <w:semiHidden/>
    <w:rsid w:val="00990313"/>
    <w:pPr>
      <w:tabs>
        <w:tab w:val="right" w:pos="9354"/>
      </w:tabs>
      <w:spacing w:before="60" w:line="240" w:lineRule="auto"/>
      <w:ind w:left="709"/>
    </w:pPr>
    <w:rPr>
      <w:noProof/>
      <w:lang w:eastAsia="en-US"/>
    </w:rPr>
  </w:style>
  <w:style w:type="paragraph" w:styleId="TOC4">
    <w:name w:val="toc 4"/>
    <w:basedOn w:val="Normal"/>
    <w:next w:val="Normal"/>
    <w:autoRedefine/>
    <w:semiHidden/>
    <w:rsid w:val="00990313"/>
    <w:pPr>
      <w:tabs>
        <w:tab w:val="right" w:pos="9354"/>
      </w:tabs>
      <w:spacing w:before="60" w:line="240" w:lineRule="auto"/>
      <w:ind w:left="2835" w:hanging="709"/>
    </w:pPr>
    <w:rPr>
      <w:noProof/>
      <w:lang w:eastAsia="en-US"/>
    </w:rPr>
  </w:style>
  <w:style w:type="paragraph" w:customStyle="1" w:styleId="GeneralHeading1">
    <w:name w:val="General Heading 1"/>
    <w:basedOn w:val="Normal"/>
    <w:next w:val="Normal"/>
    <w:qFormat/>
    <w:rsid w:val="00990313"/>
    <w:pPr>
      <w:keepNext/>
      <w:spacing w:before="200"/>
    </w:pPr>
    <w:rPr>
      <w:b/>
      <w:sz w:val="22"/>
    </w:rPr>
  </w:style>
  <w:style w:type="paragraph" w:customStyle="1" w:styleId="GeneralHeading2">
    <w:name w:val="General Heading 2"/>
    <w:basedOn w:val="Normal"/>
    <w:next w:val="Normal"/>
    <w:qFormat/>
    <w:rsid w:val="00990313"/>
    <w:pPr>
      <w:keepNext/>
      <w:spacing w:before="160"/>
    </w:pPr>
    <w:rPr>
      <w:b/>
      <w:sz w:val="21"/>
    </w:rPr>
  </w:style>
  <w:style w:type="paragraph" w:customStyle="1" w:styleId="Definitionsi">
    <w:name w:val="Definitions (i)"/>
    <w:basedOn w:val="Normal"/>
    <w:qFormat/>
    <w:rsid w:val="00990313"/>
    <w:pPr>
      <w:numPr>
        <w:ilvl w:val="2"/>
        <w:numId w:val="10"/>
      </w:numPr>
    </w:pPr>
  </w:style>
  <w:style w:type="paragraph" w:styleId="TOC5">
    <w:name w:val="toc 5"/>
    <w:basedOn w:val="Normal"/>
    <w:next w:val="Normal"/>
    <w:autoRedefine/>
    <w:semiHidden/>
    <w:rsid w:val="00990313"/>
    <w:pPr>
      <w:tabs>
        <w:tab w:val="right" w:pos="9354"/>
      </w:tabs>
      <w:ind w:left="3544" w:hanging="709"/>
    </w:pPr>
    <w:rPr>
      <w:lang w:eastAsia="en-US"/>
    </w:rPr>
  </w:style>
  <w:style w:type="paragraph" w:styleId="TOC6">
    <w:name w:val="toc 6"/>
    <w:basedOn w:val="Normal"/>
    <w:next w:val="Normal"/>
    <w:autoRedefine/>
    <w:semiHidden/>
    <w:rsid w:val="00990313"/>
    <w:pPr>
      <w:tabs>
        <w:tab w:val="right" w:pos="9354"/>
      </w:tabs>
      <w:ind w:left="4253" w:hanging="709"/>
    </w:pPr>
    <w:rPr>
      <w:lang w:eastAsia="en-US"/>
    </w:rPr>
  </w:style>
  <w:style w:type="paragraph" w:styleId="TOC7">
    <w:name w:val="toc 7"/>
    <w:basedOn w:val="Normal"/>
    <w:next w:val="Normal"/>
    <w:autoRedefine/>
    <w:semiHidden/>
    <w:rsid w:val="00990313"/>
    <w:pPr>
      <w:ind w:left="1200"/>
    </w:pPr>
    <w:rPr>
      <w:lang w:eastAsia="en-US"/>
    </w:rPr>
  </w:style>
  <w:style w:type="paragraph" w:styleId="TOC8">
    <w:name w:val="toc 8"/>
    <w:basedOn w:val="Normal"/>
    <w:next w:val="Normal"/>
    <w:autoRedefine/>
    <w:semiHidden/>
    <w:rsid w:val="00990313"/>
    <w:pPr>
      <w:ind w:left="1400"/>
    </w:pPr>
    <w:rPr>
      <w:lang w:eastAsia="en-US"/>
    </w:rPr>
  </w:style>
  <w:style w:type="paragraph" w:styleId="TOC9">
    <w:name w:val="toc 9"/>
    <w:basedOn w:val="Normal"/>
    <w:next w:val="Normal"/>
    <w:autoRedefine/>
    <w:semiHidden/>
    <w:rsid w:val="00990313"/>
    <w:pPr>
      <w:ind w:left="1600"/>
    </w:pPr>
    <w:rPr>
      <w:lang w:eastAsia="en-US"/>
    </w:rPr>
  </w:style>
  <w:style w:type="paragraph" w:customStyle="1" w:styleId="AllensHeading1">
    <w:name w:val="Allens Heading 1"/>
    <w:basedOn w:val="Normal"/>
    <w:next w:val="AllensHeading2"/>
    <w:qFormat/>
    <w:rsid w:val="00990313"/>
    <w:pPr>
      <w:keepNext/>
      <w:numPr>
        <w:numId w:val="9"/>
      </w:numPr>
      <w:spacing w:before="200"/>
      <w:outlineLvl w:val="0"/>
    </w:pPr>
    <w:rPr>
      <w:b/>
      <w:sz w:val="22"/>
    </w:rPr>
  </w:style>
  <w:style w:type="paragraph" w:customStyle="1" w:styleId="AllensHeading2">
    <w:name w:val="Allens Heading 2"/>
    <w:basedOn w:val="Normal"/>
    <w:next w:val="NormalIndent"/>
    <w:qFormat/>
    <w:rsid w:val="00990313"/>
    <w:pPr>
      <w:keepNext/>
      <w:numPr>
        <w:ilvl w:val="1"/>
        <w:numId w:val="9"/>
      </w:numPr>
      <w:spacing w:before="160"/>
      <w:outlineLvl w:val="1"/>
    </w:pPr>
    <w:rPr>
      <w:b/>
      <w:sz w:val="21"/>
    </w:rPr>
  </w:style>
  <w:style w:type="paragraph" w:styleId="FootnoteText">
    <w:name w:val="footnote text"/>
    <w:basedOn w:val="Normal"/>
    <w:semiHidden/>
    <w:rsid w:val="00990313"/>
    <w:rPr>
      <w:sz w:val="16"/>
    </w:rPr>
  </w:style>
  <w:style w:type="paragraph" w:customStyle="1" w:styleId="GNLevel3">
    <w:name w:val="GN Level 3"/>
    <w:basedOn w:val="Normal"/>
    <w:uiPriority w:val="1"/>
    <w:qFormat/>
    <w:rsid w:val="00990313"/>
    <w:pPr>
      <w:numPr>
        <w:ilvl w:val="2"/>
        <w:numId w:val="4"/>
      </w:numPr>
      <w:spacing w:line="240" w:lineRule="auto"/>
    </w:pPr>
    <w:rPr>
      <w:vanish/>
      <w:color w:val="000080"/>
    </w:rPr>
  </w:style>
  <w:style w:type="paragraph" w:customStyle="1" w:styleId="GNLevel4">
    <w:name w:val="GN Level 4"/>
    <w:basedOn w:val="Normal"/>
    <w:uiPriority w:val="1"/>
    <w:qFormat/>
    <w:rsid w:val="00990313"/>
    <w:pPr>
      <w:numPr>
        <w:ilvl w:val="3"/>
        <w:numId w:val="4"/>
      </w:numPr>
      <w:spacing w:line="240" w:lineRule="auto"/>
    </w:pPr>
    <w:rPr>
      <w:vanish/>
      <w:color w:val="000080"/>
    </w:rPr>
  </w:style>
  <w:style w:type="paragraph" w:customStyle="1" w:styleId="GNBullet">
    <w:name w:val="GN Bullet"/>
    <w:basedOn w:val="Normal"/>
    <w:uiPriority w:val="1"/>
    <w:qFormat/>
    <w:rsid w:val="00990313"/>
    <w:pPr>
      <w:numPr>
        <w:numId w:val="5"/>
      </w:numPr>
      <w:spacing w:line="240" w:lineRule="auto"/>
    </w:pPr>
    <w:rPr>
      <w:vanish/>
      <w:color w:val="000080"/>
    </w:rPr>
  </w:style>
  <w:style w:type="paragraph" w:customStyle="1" w:styleId="AllensHeading3">
    <w:name w:val="Allens Heading 3"/>
    <w:basedOn w:val="Normal"/>
    <w:qFormat/>
    <w:rsid w:val="00990313"/>
    <w:pPr>
      <w:numPr>
        <w:ilvl w:val="2"/>
        <w:numId w:val="9"/>
      </w:numPr>
    </w:pPr>
  </w:style>
  <w:style w:type="paragraph" w:customStyle="1" w:styleId="AllensHeading4">
    <w:name w:val="Allens Heading 4"/>
    <w:basedOn w:val="Normal"/>
    <w:qFormat/>
    <w:rsid w:val="00990313"/>
    <w:pPr>
      <w:numPr>
        <w:ilvl w:val="3"/>
        <w:numId w:val="9"/>
      </w:numPr>
    </w:pPr>
  </w:style>
  <w:style w:type="paragraph" w:customStyle="1" w:styleId="AllensHeading5">
    <w:name w:val="Allens Heading 5"/>
    <w:basedOn w:val="Normal"/>
    <w:qFormat/>
    <w:rsid w:val="00990313"/>
    <w:pPr>
      <w:numPr>
        <w:ilvl w:val="4"/>
        <w:numId w:val="9"/>
      </w:numPr>
    </w:pPr>
  </w:style>
  <w:style w:type="paragraph" w:customStyle="1" w:styleId="AllensHeading6">
    <w:name w:val="Allens Heading 6"/>
    <w:basedOn w:val="Normal"/>
    <w:qFormat/>
    <w:rsid w:val="00990313"/>
    <w:pPr>
      <w:numPr>
        <w:ilvl w:val="5"/>
        <w:numId w:val="9"/>
      </w:numPr>
    </w:pPr>
  </w:style>
  <w:style w:type="paragraph" w:customStyle="1" w:styleId="ContentsHeading">
    <w:name w:val="Contents Heading"/>
    <w:basedOn w:val="Normal"/>
    <w:next w:val="Normal"/>
    <w:qFormat/>
    <w:rsid w:val="00990313"/>
    <w:pPr>
      <w:spacing w:before="0"/>
    </w:pPr>
    <w:rPr>
      <w:b/>
      <w:sz w:val="22"/>
    </w:rPr>
  </w:style>
  <w:style w:type="table" w:styleId="TableGrid">
    <w:name w:val="Table Grid"/>
    <w:basedOn w:val="TableNormal"/>
    <w:rsid w:val="00990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9031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90313"/>
    <w:rPr>
      <w:rFonts w:ascii="Tahoma" w:hAnsi="Tahoma" w:cs="Tahoma"/>
      <w:sz w:val="16"/>
      <w:szCs w:val="16"/>
    </w:rPr>
  </w:style>
  <w:style w:type="character" w:styleId="FootnoteReference">
    <w:name w:val="footnote reference"/>
    <w:basedOn w:val="DefaultParagraphFont"/>
    <w:rsid w:val="006352F8"/>
    <w:rPr>
      <w:vertAlign w:val="superscript"/>
    </w:rPr>
  </w:style>
  <w:style w:type="paragraph" w:customStyle="1" w:styleId="HeaderTitle2">
    <w:name w:val="Header Title 2"/>
    <w:basedOn w:val="HeaderTitle"/>
    <w:qFormat/>
    <w:rsid w:val="00990313"/>
    <w:pPr>
      <w:spacing w:after="40"/>
    </w:pPr>
  </w:style>
  <w:style w:type="character" w:styleId="CommentReference">
    <w:name w:val="annotation reference"/>
    <w:basedOn w:val="DefaultParagraphFont"/>
    <w:rsid w:val="0076095C"/>
    <w:rPr>
      <w:sz w:val="16"/>
      <w:szCs w:val="16"/>
    </w:rPr>
  </w:style>
  <w:style w:type="paragraph" w:styleId="CommentText">
    <w:name w:val="annotation text"/>
    <w:basedOn w:val="Normal"/>
    <w:link w:val="CommentTextChar"/>
    <w:rsid w:val="0076095C"/>
    <w:pPr>
      <w:spacing w:line="240" w:lineRule="auto"/>
    </w:pPr>
  </w:style>
  <w:style w:type="character" w:customStyle="1" w:styleId="CommentTextChar">
    <w:name w:val="Comment Text Char"/>
    <w:basedOn w:val="DefaultParagraphFont"/>
    <w:link w:val="CommentText"/>
    <w:rsid w:val="0076095C"/>
  </w:style>
  <w:style w:type="paragraph" w:styleId="CommentSubject">
    <w:name w:val="annotation subject"/>
    <w:basedOn w:val="CommentText"/>
    <w:next w:val="CommentText"/>
    <w:link w:val="CommentSubjectChar"/>
    <w:rsid w:val="0076095C"/>
    <w:rPr>
      <w:b/>
      <w:bCs/>
    </w:rPr>
  </w:style>
  <w:style w:type="character" w:customStyle="1" w:styleId="CommentSubjectChar">
    <w:name w:val="Comment Subject Char"/>
    <w:basedOn w:val="CommentTextChar"/>
    <w:link w:val="CommentSubject"/>
    <w:rsid w:val="007609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toc 1" w:uiPriority="39" w:qFormat="1"/>
    <w:lsdException w:name="toc 2" w:uiPriority="39" w:qFormat="1"/>
    <w:lsdException w:name="Normal Indent" w:qFormat="1"/>
    <w:lsdException w:name="footer" w:qFormat="1"/>
    <w:lsdException w:name="caption" w:semiHidden="1"/>
    <w:lsdException w:name="page number" w:qFormat="1"/>
    <w:lsdException w:name="Title" w:qFormat="1"/>
    <w:lsdException w:name="Default Paragraph Font" w:uiPriority="1"/>
    <w:lsdException w:name="Body Text" w:qFormat="1"/>
    <w:lsdException w:name="Body Tex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qFormat/>
    <w:rsid w:val="00990313"/>
    <w:pPr>
      <w:spacing w:before="100" w:line="288" w:lineRule="auto"/>
    </w:pPr>
  </w:style>
  <w:style w:type="paragraph" w:styleId="Heading1">
    <w:name w:val="heading 1"/>
    <w:basedOn w:val="Normal"/>
    <w:next w:val="Normal"/>
    <w:semiHidden/>
    <w:rsid w:val="00990313"/>
    <w:pPr>
      <w:outlineLvl w:val="0"/>
    </w:pPr>
  </w:style>
  <w:style w:type="paragraph" w:styleId="Heading2">
    <w:name w:val="heading 2"/>
    <w:basedOn w:val="Normal"/>
    <w:next w:val="NormalIndent"/>
    <w:semiHidden/>
    <w:rsid w:val="00990313"/>
    <w:pPr>
      <w:outlineLvl w:val="1"/>
    </w:pPr>
  </w:style>
  <w:style w:type="paragraph" w:styleId="Heading3">
    <w:name w:val="heading 3"/>
    <w:basedOn w:val="Normal"/>
    <w:semiHidden/>
    <w:rsid w:val="00990313"/>
    <w:pPr>
      <w:outlineLvl w:val="2"/>
    </w:pPr>
  </w:style>
  <w:style w:type="paragraph" w:styleId="Heading4">
    <w:name w:val="heading 4"/>
    <w:basedOn w:val="Normal"/>
    <w:semiHidden/>
    <w:rsid w:val="00990313"/>
    <w:pPr>
      <w:outlineLvl w:val="3"/>
    </w:pPr>
  </w:style>
  <w:style w:type="paragraph" w:styleId="Heading5">
    <w:name w:val="heading 5"/>
    <w:basedOn w:val="Normal"/>
    <w:semiHidden/>
    <w:rsid w:val="00990313"/>
    <w:pPr>
      <w:outlineLvl w:val="4"/>
    </w:pPr>
  </w:style>
  <w:style w:type="paragraph" w:styleId="Heading6">
    <w:name w:val="heading 6"/>
    <w:basedOn w:val="Normal"/>
    <w:semiHidden/>
    <w:rsid w:val="00990313"/>
    <w:pPr>
      <w:outlineLvl w:val="5"/>
    </w:pPr>
  </w:style>
  <w:style w:type="paragraph" w:styleId="Heading7">
    <w:name w:val="heading 7"/>
    <w:basedOn w:val="Normal"/>
    <w:next w:val="Normal"/>
    <w:semiHidden/>
    <w:rsid w:val="00990313"/>
    <w:pPr>
      <w:outlineLvl w:val="6"/>
    </w:pPr>
  </w:style>
  <w:style w:type="paragraph" w:styleId="Heading8">
    <w:name w:val="heading 8"/>
    <w:basedOn w:val="Normal"/>
    <w:next w:val="Normal"/>
    <w:semiHidden/>
    <w:rsid w:val="00990313"/>
    <w:pPr>
      <w:outlineLvl w:val="7"/>
    </w:pPr>
  </w:style>
  <w:style w:type="paragraph" w:styleId="Heading9">
    <w:name w:val="heading 9"/>
    <w:basedOn w:val="Normal"/>
    <w:next w:val="Normal"/>
    <w:semiHidden/>
    <w:rsid w:val="009903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990313"/>
    <w:pPr>
      <w:ind w:left="709"/>
    </w:pPr>
  </w:style>
  <w:style w:type="character" w:customStyle="1" w:styleId="AuthorNote">
    <w:name w:val="Author Note"/>
    <w:aliases w:val="AN"/>
    <w:uiPriority w:val="1"/>
    <w:qFormat/>
    <w:rsid w:val="00990313"/>
    <w:rPr>
      <w:rFonts w:ascii="Arial" w:hAnsi="Arial"/>
      <w:b/>
      <w:vanish/>
      <w:color w:val="0074BF"/>
      <w:sz w:val="20"/>
    </w:rPr>
  </w:style>
  <w:style w:type="paragraph" w:styleId="BodyText">
    <w:name w:val="Body Text"/>
    <w:basedOn w:val="Normal"/>
    <w:qFormat/>
    <w:rsid w:val="00990313"/>
    <w:pPr>
      <w:spacing w:before="0" w:line="240" w:lineRule="auto"/>
    </w:pPr>
  </w:style>
  <w:style w:type="paragraph" w:styleId="BodyTextIndent">
    <w:name w:val="Body Text Indent"/>
    <w:basedOn w:val="BodyText"/>
    <w:qFormat/>
    <w:rsid w:val="00990313"/>
    <w:pPr>
      <w:ind w:left="709"/>
    </w:pPr>
  </w:style>
  <w:style w:type="paragraph" w:customStyle="1" w:styleId="Bullet1">
    <w:name w:val="Bullet 1"/>
    <w:basedOn w:val="Normal"/>
    <w:qFormat/>
    <w:rsid w:val="00990313"/>
    <w:pPr>
      <w:numPr>
        <w:numId w:val="1"/>
      </w:numPr>
    </w:pPr>
  </w:style>
  <w:style w:type="paragraph" w:customStyle="1" w:styleId="Bullet2">
    <w:name w:val="Bullet 2"/>
    <w:basedOn w:val="Normal"/>
    <w:qFormat/>
    <w:rsid w:val="00990313"/>
    <w:pPr>
      <w:numPr>
        <w:numId w:val="2"/>
      </w:numPr>
    </w:pPr>
  </w:style>
  <w:style w:type="paragraph" w:customStyle="1" w:styleId="Bullet3">
    <w:name w:val="Bullet 3"/>
    <w:basedOn w:val="Normal"/>
    <w:qFormat/>
    <w:rsid w:val="00990313"/>
    <w:pPr>
      <w:numPr>
        <w:numId w:val="3"/>
      </w:numPr>
    </w:pPr>
  </w:style>
  <w:style w:type="paragraph" w:styleId="Footer">
    <w:name w:val="footer"/>
    <w:basedOn w:val="Normal"/>
    <w:qFormat/>
    <w:rsid w:val="00990313"/>
    <w:pPr>
      <w:spacing w:before="40" w:line="240" w:lineRule="auto"/>
    </w:pPr>
    <w:rPr>
      <w:noProof/>
      <w:sz w:val="16"/>
    </w:rPr>
  </w:style>
  <w:style w:type="paragraph" w:customStyle="1" w:styleId="Definitions">
    <w:name w:val="Definitions"/>
    <w:basedOn w:val="NormalIndent"/>
    <w:qFormat/>
    <w:rsid w:val="00990313"/>
    <w:pPr>
      <w:numPr>
        <w:numId w:val="10"/>
      </w:numPr>
      <w:ind w:left="709" w:firstLine="0"/>
    </w:pPr>
  </w:style>
  <w:style w:type="paragraph" w:customStyle="1" w:styleId="GNHeading">
    <w:name w:val="GN Heading"/>
    <w:basedOn w:val="Normal"/>
    <w:next w:val="GNNormalIndent"/>
    <w:uiPriority w:val="1"/>
    <w:qFormat/>
    <w:rsid w:val="00990313"/>
    <w:pPr>
      <w:keepNext/>
      <w:numPr>
        <w:numId w:val="7"/>
      </w:numPr>
      <w:spacing w:before="200" w:line="240" w:lineRule="auto"/>
    </w:pPr>
    <w:rPr>
      <w:b/>
      <w:vanish/>
      <w:color w:val="000080"/>
    </w:rPr>
  </w:style>
  <w:style w:type="paragraph" w:customStyle="1" w:styleId="GNNormalIndent">
    <w:name w:val="GN Normal Indent"/>
    <w:basedOn w:val="GNNormal"/>
    <w:uiPriority w:val="1"/>
    <w:qFormat/>
    <w:rsid w:val="00990313"/>
    <w:pPr>
      <w:ind w:left="709"/>
    </w:pPr>
  </w:style>
  <w:style w:type="paragraph" w:customStyle="1" w:styleId="GNNormal">
    <w:name w:val="GN Normal"/>
    <w:basedOn w:val="Normal"/>
    <w:uiPriority w:val="1"/>
    <w:qFormat/>
    <w:rsid w:val="00990313"/>
    <w:pPr>
      <w:spacing w:line="240" w:lineRule="auto"/>
    </w:pPr>
    <w:rPr>
      <w:vanish/>
      <w:color w:val="000080"/>
    </w:rPr>
  </w:style>
  <w:style w:type="paragraph" w:customStyle="1" w:styleId="GNLevel1">
    <w:name w:val="GN Level 1"/>
    <w:basedOn w:val="Normal"/>
    <w:uiPriority w:val="1"/>
    <w:qFormat/>
    <w:rsid w:val="00990313"/>
    <w:pPr>
      <w:numPr>
        <w:numId w:val="4"/>
      </w:numPr>
      <w:spacing w:line="240" w:lineRule="auto"/>
    </w:pPr>
    <w:rPr>
      <w:vanish/>
      <w:color w:val="000080"/>
    </w:rPr>
  </w:style>
  <w:style w:type="paragraph" w:customStyle="1" w:styleId="GNLevel2">
    <w:name w:val="GN Level 2"/>
    <w:basedOn w:val="Normal"/>
    <w:uiPriority w:val="1"/>
    <w:qFormat/>
    <w:rsid w:val="00990313"/>
    <w:pPr>
      <w:numPr>
        <w:ilvl w:val="1"/>
        <w:numId w:val="4"/>
      </w:numPr>
      <w:spacing w:line="240" w:lineRule="auto"/>
    </w:pPr>
    <w:rPr>
      <w:vanish/>
      <w:color w:val="000080"/>
    </w:rPr>
  </w:style>
  <w:style w:type="paragraph" w:styleId="Header">
    <w:name w:val="header"/>
    <w:basedOn w:val="Normal"/>
    <w:semiHidden/>
    <w:rsid w:val="00990313"/>
    <w:pPr>
      <w:spacing w:before="0" w:line="240" w:lineRule="auto"/>
    </w:pPr>
    <w:rPr>
      <w:noProof/>
      <w:sz w:val="16"/>
    </w:rPr>
  </w:style>
  <w:style w:type="paragraph" w:customStyle="1" w:styleId="HeaderTitle">
    <w:name w:val="Header Title"/>
    <w:basedOn w:val="Normal"/>
    <w:qFormat/>
    <w:rsid w:val="00990313"/>
    <w:pPr>
      <w:spacing w:line="240" w:lineRule="auto"/>
    </w:pPr>
    <w:rPr>
      <w:noProof/>
    </w:rPr>
  </w:style>
  <w:style w:type="paragraph" w:customStyle="1" w:styleId="Definitionsa">
    <w:name w:val="Definitions (a)"/>
    <w:basedOn w:val="Normal"/>
    <w:qFormat/>
    <w:rsid w:val="00990313"/>
    <w:pPr>
      <w:numPr>
        <w:ilvl w:val="1"/>
        <w:numId w:val="10"/>
      </w:numPr>
    </w:pPr>
  </w:style>
  <w:style w:type="paragraph" w:customStyle="1" w:styleId="level1">
    <w:name w:val="level1"/>
    <w:basedOn w:val="Normal"/>
    <w:qFormat/>
    <w:rsid w:val="00990313"/>
    <w:pPr>
      <w:numPr>
        <w:numId w:val="8"/>
      </w:numPr>
    </w:pPr>
  </w:style>
  <w:style w:type="paragraph" w:customStyle="1" w:styleId="level2">
    <w:name w:val="level2"/>
    <w:basedOn w:val="Normal"/>
    <w:qFormat/>
    <w:rsid w:val="00990313"/>
    <w:pPr>
      <w:numPr>
        <w:ilvl w:val="1"/>
        <w:numId w:val="8"/>
      </w:numPr>
    </w:pPr>
  </w:style>
  <w:style w:type="paragraph" w:customStyle="1" w:styleId="level3">
    <w:name w:val="level3"/>
    <w:basedOn w:val="Normal"/>
    <w:qFormat/>
    <w:rsid w:val="00990313"/>
    <w:pPr>
      <w:numPr>
        <w:ilvl w:val="2"/>
        <w:numId w:val="8"/>
      </w:numPr>
    </w:pPr>
  </w:style>
  <w:style w:type="paragraph" w:customStyle="1" w:styleId="level4">
    <w:name w:val="level4"/>
    <w:basedOn w:val="Normal"/>
    <w:qFormat/>
    <w:rsid w:val="00990313"/>
    <w:pPr>
      <w:numPr>
        <w:ilvl w:val="3"/>
        <w:numId w:val="8"/>
      </w:numPr>
    </w:pPr>
  </w:style>
  <w:style w:type="paragraph" w:customStyle="1" w:styleId="level5">
    <w:name w:val="level5"/>
    <w:basedOn w:val="Normal"/>
    <w:qFormat/>
    <w:rsid w:val="00990313"/>
    <w:pPr>
      <w:numPr>
        <w:ilvl w:val="4"/>
        <w:numId w:val="8"/>
      </w:numPr>
    </w:pPr>
  </w:style>
  <w:style w:type="paragraph" w:customStyle="1" w:styleId="level6">
    <w:name w:val="level6"/>
    <w:basedOn w:val="Normal"/>
    <w:qFormat/>
    <w:rsid w:val="00990313"/>
    <w:pPr>
      <w:numPr>
        <w:ilvl w:val="5"/>
        <w:numId w:val="8"/>
      </w:numPr>
    </w:pPr>
  </w:style>
  <w:style w:type="character" w:styleId="PageNumber">
    <w:name w:val="page number"/>
    <w:semiHidden/>
    <w:qFormat/>
    <w:rsid w:val="00990313"/>
    <w:rPr>
      <w:sz w:val="16"/>
    </w:rPr>
  </w:style>
  <w:style w:type="character" w:styleId="Hyperlink">
    <w:name w:val="Hyperlink"/>
    <w:uiPriority w:val="99"/>
    <w:rsid w:val="00990313"/>
    <w:rPr>
      <w:color w:val="0000FF"/>
      <w:u w:val="single"/>
    </w:rPr>
  </w:style>
  <w:style w:type="paragraph" w:customStyle="1" w:styleId="Schedule">
    <w:name w:val="Schedule"/>
    <w:basedOn w:val="Normal"/>
    <w:next w:val="ScheduleHeading"/>
    <w:qFormat/>
    <w:rsid w:val="00990313"/>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990313"/>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990313"/>
    <w:pPr>
      <w:keepNext/>
      <w:numPr>
        <w:ilvl w:val="2"/>
        <w:numId w:val="6"/>
      </w:numPr>
      <w:spacing w:before="200"/>
    </w:pPr>
    <w:rPr>
      <w:b/>
      <w:sz w:val="22"/>
    </w:rPr>
  </w:style>
  <w:style w:type="paragraph" w:customStyle="1" w:styleId="Schedule2">
    <w:name w:val="Schedule 2"/>
    <w:basedOn w:val="Normal"/>
    <w:next w:val="NormalIndent"/>
    <w:qFormat/>
    <w:rsid w:val="00990313"/>
    <w:pPr>
      <w:keepNext/>
      <w:numPr>
        <w:ilvl w:val="3"/>
        <w:numId w:val="6"/>
      </w:numPr>
      <w:spacing w:before="160"/>
    </w:pPr>
    <w:rPr>
      <w:b/>
      <w:sz w:val="21"/>
    </w:rPr>
  </w:style>
  <w:style w:type="paragraph" w:customStyle="1" w:styleId="Schedule3">
    <w:name w:val="Schedule 3"/>
    <w:basedOn w:val="Normal"/>
    <w:qFormat/>
    <w:rsid w:val="00990313"/>
    <w:pPr>
      <w:numPr>
        <w:ilvl w:val="4"/>
        <w:numId w:val="6"/>
      </w:numPr>
    </w:pPr>
  </w:style>
  <w:style w:type="paragraph" w:customStyle="1" w:styleId="Schedule4">
    <w:name w:val="Schedule 4"/>
    <w:basedOn w:val="Normal"/>
    <w:qFormat/>
    <w:rsid w:val="00990313"/>
    <w:pPr>
      <w:numPr>
        <w:ilvl w:val="5"/>
        <w:numId w:val="6"/>
      </w:numPr>
    </w:pPr>
  </w:style>
  <w:style w:type="paragraph" w:customStyle="1" w:styleId="Schedule5">
    <w:name w:val="Schedule 5"/>
    <w:basedOn w:val="Normal"/>
    <w:qFormat/>
    <w:rsid w:val="00990313"/>
    <w:pPr>
      <w:numPr>
        <w:ilvl w:val="6"/>
        <w:numId w:val="6"/>
      </w:numPr>
    </w:pPr>
  </w:style>
  <w:style w:type="paragraph" w:customStyle="1" w:styleId="Schedule6">
    <w:name w:val="Schedule 6"/>
    <w:basedOn w:val="Normal"/>
    <w:qFormat/>
    <w:rsid w:val="00990313"/>
    <w:pPr>
      <w:numPr>
        <w:ilvl w:val="7"/>
        <w:numId w:val="6"/>
      </w:numPr>
    </w:pPr>
  </w:style>
  <w:style w:type="paragraph" w:styleId="Title">
    <w:name w:val="Title"/>
    <w:basedOn w:val="Normal"/>
    <w:qFormat/>
    <w:rsid w:val="00990313"/>
    <w:pPr>
      <w:keepNext/>
      <w:spacing w:before="0" w:after="60"/>
    </w:pPr>
    <w:rPr>
      <w:sz w:val="32"/>
    </w:rPr>
  </w:style>
  <w:style w:type="paragraph" w:styleId="TOC1">
    <w:name w:val="toc 1"/>
    <w:basedOn w:val="Normal"/>
    <w:next w:val="TOC2"/>
    <w:autoRedefine/>
    <w:uiPriority w:val="39"/>
    <w:qFormat/>
    <w:rsid w:val="00990313"/>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990313"/>
    <w:pPr>
      <w:tabs>
        <w:tab w:val="right" w:pos="9354"/>
      </w:tabs>
      <w:spacing w:before="60" w:line="240" w:lineRule="auto"/>
      <w:ind w:left="1418" w:hanging="709"/>
    </w:pPr>
    <w:rPr>
      <w:noProof/>
      <w:lang w:eastAsia="en-US"/>
    </w:rPr>
  </w:style>
  <w:style w:type="paragraph" w:styleId="TOC3">
    <w:name w:val="toc 3"/>
    <w:basedOn w:val="Normal"/>
    <w:autoRedefine/>
    <w:semiHidden/>
    <w:rsid w:val="00990313"/>
    <w:pPr>
      <w:tabs>
        <w:tab w:val="right" w:pos="9354"/>
      </w:tabs>
      <w:spacing w:before="60" w:line="240" w:lineRule="auto"/>
      <w:ind w:left="709"/>
    </w:pPr>
    <w:rPr>
      <w:noProof/>
      <w:lang w:eastAsia="en-US"/>
    </w:rPr>
  </w:style>
  <w:style w:type="paragraph" w:styleId="TOC4">
    <w:name w:val="toc 4"/>
    <w:basedOn w:val="Normal"/>
    <w:next w:val="Normal"/>
    <w:autoRedefine/>
    <w:semiHidden/>
    <w:rsid w:val="00990313"/>
    <w:pPr>
      <w:tabs>
        <w:tab w:val="right" w:pos="9354"/>
      </w:tabs>
      <w:spacing w:before="60" w:line="240" w:lineRule="auto"/>
      <w:ind w:left="2835" w:hanging="709"/>
    </w:pPr>
    <w:rPr>
      <w:noProof/>
      <w:lang w:eastAsia="en-US"/>
    </w:rPr>
  </w:style>
  <w:style w:type="paragraph" w:customStyle="1" w:styleId="GeneralHeading1">
    <w:name w:val="General Heading 1"/>
    <w:basedOn w:val="Normal"/>
    <w:next w:val="Normal"/>
    <w:qFormat/>
    <w:rsid w:val="00990313"/>
    <w:pPr>
      <w:keepNext/>
      <w:spacing w:before="200"/>
    </w:pPr>
    <w:rPr>
      <w:b/>
      <w:sz w:val="22"/>
    </w:rPr>
  </w:style>
  <w:style w:type="paragraph" w:customStyle="1" w:styleId="GeneralHeading2">
    <w:name w:val="General Heading 2"/>
    <w:basedOn w:val="Normal"/>
    <w:next w:val="Normal"/>
    <w:qFormat/>
    <w:rsid w:val="00990313"/>
    <w:pPr>
      <w:keepNext/>
      <w:spacing w:before="160"/>
    </w:pPr>
    <w:rPr>
      <w:b/>
      <w:sz w:val="21"/>
    </w:rPr>
  </w:style>
  <w:style w:type="paragraph" w:customStyle="1" w:styleId="Definitionsi">
    <w:name w:val="Definitions (i)"/>
    <w:basedOn w:val="Normal"/>
    <w:qFormat/>
    <w:rsid w:val="00990313"/>
    <w:pPr>
      <w:numPr>
        <w:ilvl w:val="2"/>
        <w:numId w:val="10"/>
      </w:numPr>
    </w:pPr>
  </w:style>
  <w:style w:type="paragraph" w:styleId="TOC5">
    <w:name w:val="toc 5"/>
    <w:basedOn w:val="Normal"/>
    <w:next w:val="Normal"/>
    <w:autoRedefine/>
    <w:semiHidden/>
    <w:rsid w:val="00990313"/>
    <w:pPr>
      <w:tabs>
        <w:tab w:val="right" w:pos="9354"/>
      </w:tabs>
      <w:ind w:left="3544" w:hanging="709"/>
    </w:pPr>
    <w:rPr>
      <w:lang w:eastAsia="en-US"/>
    </w:rPr>
  </w:style>
  <w:style w:type="paragraph" w:styleId="TOC6">
    <w:name w:val="toc 6"/>
    <w:basedOn w:val="Normal"/>
    <w:next w:val="Normal"/>
    <w:autoRedefine/>
    <w:semiHidden/>
    <w:rsid w:val="00990313"/>
    <w:pPr>
      <w:tabs>
        <w:tab w:val="right" w:pos="9354"/>
      </w:tabs>
      <w:ind w:left="4253" w:hanging="709"/>
    </w:pPr>
    <w:rPr>
      <w:lang w:eastAsia="en-US"/>
    </w:rPr>
  </w:style>
  <w:style w:type="paragraph" w:styleId="TOC7">
    <w:name w:val="toc 7"/>
    <w:basedOn w:val="Normal"/>
    <w:next w:val="Normal"/>
    <w:autoRedefine/>
    <w:semiHidden/>
    <w:rsid w:val="00990313"/>
    <w:pPr>
      <w:ind w:left="1200"/>
    </w:pPr>
    <w:rPr>
      <w:lang w:eastAsia="en-US"/>
    </w:rPr>
  </w:style>
  <w:style w:type="paragraph" w:styleId="TOC8">
    <w:name w:val="toc 8"/>
    <w:basedOn w:val="Normal"/>
    <w:next w:val="Normal"/>
    <w:autoRedefine/>
    <w:semiHidden/>
    <w:rsid w:val="00990313"/>
    <w:pPr>
      <w:ind w:left="1400"/>
    </w:pPr>
    <w:rPr>
      <w:lang w:eastAsia="en-US"/>
    </w:rPr>
  </w:style>
  <w:style w:type="paragraph" w:styleId="TOC9">
    <w:name w:val="toc 9"/>
    <w:basedOn w:val="Normal"/>
    <w:next w:val="Normal"/>
    <w:autoRedefine/>
    <w:semiHidden/>
    <w:rsid w:val="00990313"/>
    <w:pPr>
      <w:ind w:left="1600"/>
    </w:pPr>
    <w:rPr>
      <w:lang w:eastAsia="en-US"/>
    </w:rPr>
  </w:style>
  <w:style w:type="paragraph" w:customStyle="1" w:styleId="AllensHeading1">
    <w:name w:val="Allens Heading 1"/>
    <w:basedOn w:val="Normal"/>
    <w:next w:val="AllensHeading2"/>
    <w:qFormat/>
    <w:rsid w:val="00990313"/>
    <w:pPr>
      <w:keepNext/>
      <w:numPr>
        <w:numId w:val="9"/>
      </w:numPr>
      <w:spacing w:before="200"/>
      <w:outlineLvl w:val="0"/>
    </w:pPr>
    <w:rPr>
      <w:b/>
      <w:sz w:val="22"/>
    </w:rPr>
  </w:style>
  <w:style w:type="paragraph" w:customStyle="1" w:styleId="AllensHeading2">
    <w:name w:val="Allens Heading 2"/>
    <w:basedOn w:val="Normal"/>
    <w:next w:val="NormalIndent"/>
    <w:qFormat/>
    <w:rsid w:val="00990313"/>
    <w:pPr>
      <w:keepNext/>
      <w:numPr>
        <w:ilvl w:val="1"/>
        <w:numId w:val="9"/>
      </w:numPr>
      <w:spacing w:before="160"/>
      <w:outlineLvl w:val="1"/>
    </w:pPr>
    <w:rPr>
      <w:b/>
      <w:sz w:val="21"/>
    </w:rPr>
  </w:style>
  <w:style w:type="paragraph" w:styleId="FootnoteText">
    <w:name w:val="footnote text"/>
    <w:basedOn w:val="Normal"/>
    <w:semiHidden/>
    <w:rsid w:val="00990313"/>
    <w:rPr>
      <w:sz w:val="16"/>
    </w:rPr>
  </w:style>
  <w:style w:type="paragraph" w:customStyle="1" w:styleId="GNLevel3">
    <w:name w:val="GN Level 3"/>
    <w:basedOn w:val="Normal"/>
    <w:uiPriority w:val="1"/>
    <w:qFormat/>
    <w:rsid w:val="00990313"/>
    <w:pPr>
      <w:numPr>
        <w:ilvl w:val="2"/>
        <w:numId w:val="4"/>
      </w:numPr>
      <w:spacing w:line="240" w:lineRule="auto"/>
    </w:pPr>
    <w:rPr>
      <w:vanish/>
      <w:color w:val="000080"/>
    </w:rPr>
  </w:style>
  <w:style w:type="paragraph" w:customStyle="1" w:styleId="GNLevel4">
    <w:name w:val="GN Level 4"/>
    <w:basedOn w:val="Normal"/>
    <w:uiPriority w:val="1"/>
    <w:qFormat/>
    <w:rsid w:val="00990313"/>
    <w:pPr>
      <w:numPr>
        <w:ilvl w:val="3"/>
        <w:numId w:val="4"/>
      </w:numPr>
      <w:spacing w:line="240" w:lineRule="auto"/>
    </w:pPr>
    <w:rPr>
      <w:vanish/>
      <w:color w:val="000080"/>
    </w:rPr>
  </w:style>
  <w:style w:type="paragraph" w:customStyle="1" w:styleId="GNBullet">
    <w:name w:val="GN Bullet"/>
    <w:basedOn w:val="Normal"/>
    <w:uiPriority w:val="1"/>
    <w:qFormat/>
    <w:rsid w:val="00990313"/>
    <w:pPr>
      <w:numPr>
        <w:numId w:val="5"/>
      </w:numPr>
      <w:spacing w:line="240" w:lineRule="auto"/>
    </w:pPr>
    <w:rPr>
      <w:vanish/>
      <w:color w:val="000080"/>
    </w:rPr>
  </w:style>
  <w:style w:type="paragraph" w:customStyle="1" w:styleId="AllensHeading3">
    <w:name w:val="Allens Heading 3"/>
    <w:basedOn w:val="Normal"/>
    <w:qFormat/>
    <w:rsid w:val="00990313"/>
    <w:pPr>
      <w:numPr>
        <w:ilvl w:val="2"/>
        <w:numId w:val="9"/>
      </w:numPr>
    </w:pPr>
  </w:style>
  <w:style w:type="paragraph" w:customStyle="1" w:styleId="AllensHeading4">
    <w:name w:val="Allens Heading 4"/>
    <w:basedOn w:val="Normal"/>
    <w:qFormat/>
    <w:rsid w:val="00990313"/>
    <w:pPr>
      <w:numPr>
        <w:ilvl w:val="3"/>
        <w:numId w:val="9"/>
      </w:numPr>
    </w:pPr>
  </w:style>
  <w:style w:type="paragraph" w:customStyle="1" w:styleId="AllensHeading5">
    <w:name w:val="Allens Heading 5"/>
    <w:basedOn w:val="Normal"/>
    <w:qFormat/>
    <w:rsid w:val="00990313"/>
    <w:pPr>
      <w:numPr>
        <w:ilvl w:val="4"/>
        <w:numId w:val="9"/>
      </w:numPr>
    </w:pPr>
  </w:style>
  <w:style w:type="paragraph" w:customStyle="1" w:styleId="AllensHeading6">
    <w:name w:val="Allens Heading 6"/>
    <w:basedOn w:val="Normal"/>
    <w:qFormat/>
    <w:rsid w:val="00990313"/>
    <w:pPr>
      <w:numPr>
        <w:ilvl w:val="5"/>
        <w:numId w:val="9"/>
      </w:numPr>
    </w:pPr>
  </w:style>
  <w:style w:type="paragraph" w:customStyle="1" w:styleId="ContentsHeading">
    <w:name w:val="Contents Heading"/>
    <w:basedOn w:val="Normal"/>
    <w:next w:val="Normal"/>
    <w:qFormat/>
    <w:rsid w:val="00990313"/>
    <w:pPr>
      <w:spacing w:before="0"/>
    </w:pPr>
    <w:rPr>
      <w:b/>
      <w:sz w:val="22"/>
    </w:rPr>
  </w:style>
  <w:style w:type="table" w:styleId="TableGrid">
    <w:name w:val="Table Grid"/>
    <w:basedOn w:val="TableNormal"/>
    <w:rsid w:val="0099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9031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90313"/>
    <w:rPr>
      <w:rFonts w:ascii="Tahoma" w:hAnsi="Tahoma" w:cs="Tahoma"/>
      <w:sz w:val="16"/>
      <w:szCs w:val="16"/>
    </w:rPr>
  </w:style>
  <w:style w:type="character" w:styleId="FootnoteReference">
    <w:name w:val="footnote reference"/>
    <w:basedOn w:val="DefaultParagraphFont"/>
    <w:rsid w:val="006352F8"/>
    <w:rPr>
      <w:vertAlign w:val="superscript"/>
    </w:rPr>
  </w:style>
  <w:style w:type="paragraph" w:customStyle="1" w:styleId="HeaderTitle2">
    <w:name w:val="Header Title 2"/>
    <w:basedOn w:val="HeaderTitle"/>
    <w:qFormat/>
    <w:rsid w:val="00990313"/>
    <w:pPr>
      <w:spacing w:after="40"/>
    </w:pPr>
  </w:style>
</w:styles>
</file>

<file path=word/webSettings.xml><?xml version="1.0" encoding="utf-8"?>
<w:webSettings xmlns:r="http://schemas.openxmlformats.org/officeDocument/2006/relationships" xmlns:w="http://schemas.openxmlformats.org/wordprocessingml/2006/main">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09747870">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443620579">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64830377">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1012031005">
      <w:bodyDiv w:val="1"/>
      <w:marLeft w:val="0"/>
      <w:marRight w:val="0"/>
      <w:marTop w:val="0"/>
      <w:marBottom w:val="0"/>
      <w:divBdr>
        <w:top w:val="none" w:sz="0" w:space="0" w:color="auto"/>
        <w:left w:val="none" w:sz="0" w:space="0" w:color="auto"/>
        <w:bottom w:val="none" w:sz="0" w:space="0" w:color="auto"/>
        <w:right w:val="none" w:sz="0" w:space="0" w:color="auto"/>
      </w:divBdr>
    </w:div>
    <w:div w:id="1096248415">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09251622">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67465027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761831411">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30</Pages>
  <Words>10444</Words>
  <Characters>59536</Characters>
  <Application>Microsoft Office Word</Application>
  <DocSecurity>0</DocSecurity>
  <Lines>496</Lines>
  <Paragraphs>139</Paragraphs>
  <ScaleCrop>false</ScaleCrop>
  <HeadingPairs>
    <vt:vector size="2" baseType="variant">
      <vt:variant>
        <vt:lpstr>Title</vt:lpstr>
      </vt:variant>
      <vt:variant>
        <vt:i4>1</vt:i4>
      </vt:variant>
    </vt:vector>
  </HeadingPairs>
  <Company/>
  <LinksUpToDate>false</LinksUpToDate>
  <CharactersWithSpaces>69841</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Karen Dyhrberg</cp:lastModifiedBy>
  <cp:revision>3</cp:revision>
  <dcterms:created xsi:type="dcterms:W3CDTF">2015-12-16T06:58:00Z</dcterms:created>
  <dcterms:modified xsi:type="dcterms:W3CDTF">2016-01-27T06:45:00Z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mvjb A0131129899v3 120395252 </vt:lpwstr>
  </property>
  <property fmtid="{D5CDD505-2E9C-101B-9397-08002B2CF9AE}" pid="3" name="DOCSDocNumber">
    <vt:lpwstr>31129899</vt:lpwstr>
  </property>
  <property fmtid="{D5CDD505-2E9C-101B-9397-08002B2CF9AE}" pid="4" name="DOCSDocumentID">
    <vt:lpwstr>A0131129899</vt:lpwstr>
  </property>
  <property fmtid="{D5CDD505-2E9C-101B-9397-08002B2CF9AE}" pid="5" name="DOCSDocName">
    <vt:lpwstr>FBT Booklet - QPILCH</vt:lpwstr>
  </property>
  <property fmtid="{D5CDD505-2E9C-101B-9397-08002B2CF9AE}" pid="6" name="DOCSAuthorID">
    <vt:lpwstr>mvjb</vt:lpwstr>
  </property>
  <property fmtid="{D5CDD505-2E9C-101B-9397-08002B2CF9AE}" pid="7" name="DOCSAuthorName">
    <vt:lpwstr>Johnston, Marc</vt:lpwstr>
  </property>
  <property fmtid="{D5CDD505-2E9C-101B-9397-08002B2CF9AE}" pid="8" name="DOCSMatterID">
    <vt:lpwstr>120395252</vt:lpwstr>
  </property>
  <property fmtid="{D5CDD505-2E9C-101B-9397-08002B2CF9AE}" pid="9" name="DOCSMatterName">
    <vt:lpwstr>FBT Booklet</vt:lpwstr>
  </property>
  <property fmtid="{D5CDD505-2E9C-101B-9397-08002B2CF9AE}" pid="10" name="DOCSTypistID">
    <vt:lpwstr>MVJB</vt:lpwstr>
  </property>
  <property fmtid="{D5CDD505-2E9C-101B-9397-08002B2CF9AE}" pid="11" name="DOCSTypistName">
    <vt:lpwstr>Johnston, Marc</vt:lpwstr>
  </property>
  <property fmtid="{D5CDD505-2E9C-101B-9397-08002B2CF9AE}" pid="12" name="DOCSDocTypeDsc">
    <vt:lpwstr>DOCSDocTypeDsc</vt:lpwstr>
  </property>
  <property fmtid="{D5CDD505-2E9C-101B-9397-08002B2CF9AE}" pid="13" name="DOCSCreationDate">
    <vt:lpwstr>31/10/2014 2:30:43 PM</vt:lpwstr>
  </property>
  <property fmtid="{D5CDD505-2E9C-101B-9397-08002B2CF9AE}" pid="14" name="DOCSLastEditDate">
    <vt:lpwstr>15/12/2015 12:56:11 PM</vt:lpwstr>
  </property>
  <property fmtid="{D5CDD505-2E9C-101B-9397-08002B2CF9AE}" pid="15" name="DOCSClientID">
    <vt:lpwstr>1090264</vt:lpwstr>
  </property>
  <property fmtid="{D5CDD505-2E9C-101B-9397-08002B2CF9AE}" pid="16" name="DOCSClientName">
    <vt:lpwstr>Queensland Public Interest Law Clearing</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3</vt:lpwstr>
  </property>
  <property fmtid="{D5CDD505-2E9C-101B-9397-08002B2CF9AE}" pid="20" name="DOCSDocTypeID">
    <vt:lpwstr>Document</vt:lpwstr>
  </property>
</Properties>
</file>