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1CC0" w14:textId="7855A785" w:rsidR="007D070A" w:rsidRPr="008A63D1" w:rsidRDefault="007423F9" w:rsidP="00555668">
      <w:pPr>
        <w:pStyle w:val="Heading1"/>
        <w:ind w:left="-426"/>
      </w:pPr>
      <w:r>
        <w:rPr>
          <w:noProof/>
          <w:lang w:eastAsia="en-AU"/>
        </w:rPr>
        <w:drawing>
          <wp:inline distT="0" distB="0" distL="0" distR="0" wp14:anchorId="0F1C0A16" wp14:editId="471C2523">
            <wp:extent cx="7172325" cy="1392555"/>
            <wp:effectExtent l="0" t="0" r="9525" b="0"/>
            <wp:docPr id="5" name="Picture 5" descr="Logo: Australian Government, Attorney-General's Department." title="Australian Government, Attorney-General's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FF5" w:rsidRPr="00E175AD">
        <w:t>Administrat</w:t>
      </w:r>
      <w:bookmarkStart w:id="0" w:name="_GoBack"/>
      <w:bookmarkEnd w:id="0"/>
      <w:r w:rsidR="00CC1FF5" w:rsidRPr="00E175AD">
        <w:t xml:space="preserve">ive Appeals Tribunal (the Tribunal) </w:t>
      </w:r>
      <w:r w:rsidR="00CC1FF5">
        <w:t>Statutory Review</w:t>
      </w:r>
    </w:p>
    <w:p w14:paraId="420B1CC1" w14:textId="08624A9C" w:rsidR="007D070A" w:rsidRPr="008C5F74" w:rsidRDefault="00CC1FF5" w:rsidP="007D070A">
      <w:pPr>
        <w:pStyle w:val="Subtitle"/>
      </w:pPr>
      <w:r w:rsidRPr="00E175AD">
        <w:t>Terms of Reference</w:t>
      </w:r>
    </w:p>
    <w:p w14:paraId="420B1CC2" w14:textId="334CEFED" w:rsidR="007D070A" w:rsidRPr="007720CB" w:rsidRDefault="00CC1FF5" w:rsidP="007D070A">
      <w:pPr>
        <w:jc w:val="right"/>
      </w:pPr>
      <w:r>
        <w:t>July 2018</w:t>
      </w:r>
    </w:p>
    <w:p w14:paraId="4478A8AB" w14:textId="2D94820D" w:rsidR="00CC1FF5" w:rsidRDefault="00CC1FF5" w:rsidP="003074C9">
      <w:r w:rsidRPr="00F47575">
        <w:t xml:space="preserve">A review is to be commenced, in accordance with section 4 of the Tribunals Amalgamation Act 2015 (TA Act), </w:t>
      </w:r>
      <w:r>
        <w:t>to consider</w:t>
      </w:r>
      <w:r w:rsidRPr="00F47575">
        <w:t xml:space="preserve"> the </w:t>
      </w:r>
      <w:r>
        <w:t xml:space="preserve">operation </w:t>
      </w:r>
      <w:r w:rsidRPr="00F47575">
        <w:t>of the amendments made by the TA Act</w:t>
      </w:r>
      <w:r>
        <w:t xml:space="preserve"> to the Tribunal</w:t>
      </w:r>
      <w:r w:rsidRPr="00F47575">
        <w:t>. The review shall consider:</w:t>
      </w:r>
    </w:p>
    <w:p w14:paraId="63EB91FE" w14:textId="77777777" w:rsidR="00CC1FF5" w:rsidRPr="00F47575" w:rsidRDefault="00CC1FF5" w:rsidP="003074C9">
      <w:pPr>
        <w:pStyle w:val="Bullet1"/>
      </w:pPr>
      <w:r w:rsidRPr="00F47575">
        <w:t>whether the objectives of the TA Act have been achieved</w:t>
      </w:r>
      <w:r>
        <w:t>;</w:t>
      </w:r>
    </w:p>
    <w:p w14:paraId="5F4CB05D" w14:textId="77777777" w:rsidR="00CC1FF5" w:rsidRPr="00FC2BEB" w:rsidRDefault="00CC1FF5" w:rsidP="003074C9">
      <w:pPr>
        <w:pStyle w:val="Bullet1"/>
      </w:pPr>
      <w:r w:rsidRPr="00FC2BEB">
        <w:t>the extent to which the Tribunal operates as a truly amalgamated body, and whether any existing levels of separation are necessary and appropriate</w:t>
      </w:r>
      <w:r>
        <w:t>;</w:t>
      </w:r>
    </w:p>
    <w:p w14:paraId="1C16B9A0" w14:textId="77777777" w:rsidR="00CC1FF5" w:rsidRDefault="00CC1FF5" w:rsidP="003074C9">
      <w:pPr>
        <w:pStyle w:val="Bullet1"/>
      </w:pPr>
      <w:r>
        <w:t xml:space="preserve">whether the Tribunal is meeting the </w:t>
      </w:r>
      <w:r w:rsidRPr="00780F46">
        <w:t>statutory objective</w:t>
      </w:r>
      <w:r>
        <w:t>s</w:t>
      </w:r>
      <w:r w:rsidRPr="00780F46">
        <w:t xml:space="preserve"> contained in section</w:t>
      </w:r>
      <w:r>
        <w:t> </w:t>
      </w:r>
      <w:r w:rsidRPr="00780F46">
        <w:t>2A of the A</w:t>
      </w:r>
      <w:r>
        <w:t>dministrative Appeals Tribunal Act 1975, with particular regard to:</w:t>
      </w:r>
    </w:p>
    <w:p w14:paraId="2EDC00CC" w14:textId="77777777" w:rsidR="00CC1FF5" w:rsidRDefault="00CC1FF5" w:rsidP="003074C9">
      <w:pPr>
        <w:pStyle w:val="ListBullet"/>
      </w:pPr>
      <w:r>
        <w:t>the objective to promote public trust and confidence in the decision-making of the Tribunal, including:</w:t>
      </w:r>
    </w:p>
    <w:p w14:paraId="49176B80" w14:textId="77777777" w:rsidR="00CC1FF5" w:rsidRDefault="00CC1FF5" w:rsidP="003074C9">
      <w:pPr>
        <w:pStyle w:val="ListBullet"/>
        <w:numPr>
          <w:ilvl w:val="2"/>
          <w:numId w:val="1"/>
        </w:numPr>
      </w:pPr>
      <w:r>
        <w:t>the extent to which decisions of the Tribunal meet community expectations; and</w:t>
      </w:r>
    </w:p>
    <w:p w14:paraId="2283DBBA" w14:textId="77777777" w:rsidR="00CC1FF5" w:rsidRPr="008F15B7" w:rsidRDefault="00CC1FF5" w:rsidP="003074C9">
      <w:pPr>
        <w:pStyle w:val="ListBullet"/>
        <w:numPr>
          <w:ilvl w:val="2"/>
          <w:numId w:val="1"/>
        </w:numPr>
      </w:pPr>
      <w:r>
        <w:t>the effectiveness of the interaction and application of legislation, Practice directions, Ministerial Directions, guides, guidelines and policies of the Tribunal;</w:t>
      </w:r>
    </w:p>
    <w:p w14:paraId="37913A53" w14:textId="77777777" w:rsidR="00CC1FF5" w:rsidRDefault="00CC1FF5" w:rsidP="003074C9">
      <w:pPr>
        <w:pStyle w:val="Bullet1"/>
      </w:pPr>
      <w:r>
        <w:t>the degree to which legislation, processes, grounds, scope, and levels of review in, and from, the Tribunal promote timely and final resolution of matters;</w:t>
      </w:r>
    </w:p>
    <w:p w14:paraId="59774E21" w14:textId="77777777" w:rsidR="00CC1FF5" w:rsidRDefault="00CC1FF5" w:rsidP="003074C9">
      <w:pPr>
        <w:pStyle w:val="Bullet1"/>
      </w:pPr>
      <w:r w:rsidRPr="00961603">
        <w:t xml:space="preserve">whether the </w:t>
      </w:r>
      <w:r>
        <w:t>Tribunal’s</w:t>
      </w:r>
      <w:r w:rsidRPr="00961603">
        <w:t xml:space="preserve"> operations and efficiency can be improved through further legislative amendments or through non-legislative </w:t>
      </w:r>
      <w:r>
        <w:t>changes; and</w:t>
      </w:r>
    </w:p>
    <w:p w14:paraId="50FD28DF" w14:textId="77777777" w:rsidR="00CC1FF5" w:rsidRPr="009740AA" w:rsidRDefault="00CC1FF5" w:rsidP="003074C9">
      <w:pPr>
        <w:pStyle w:val="Bullet1"/>
      </w:pPr>
      <w:proofErr w:type="gramStart"/>
      <w:r w:rsidRPr="009740AA">
        <w:t>whether</w:t>
      </w:r>
      <w:proofErr w:type="gramEnd"/>
      <w:r w:rsidRPr="009740AA">
        <w:t xml:space="preserve"> the arrangements for funding the operations of the Tribunal are appropriate, including ensuring consistent funding models across divisions.</w:t>
      </w:r>
    </w:p>
    <w:p w14:paraId="1B15C789" w14:textId="77777777" w:rsidR="00CC1FF5" w:rsidRPr="00494724" w:rsidRDefault="00CC1FF5" w:rsidP="003074C9">
      <w:r>
        <w:t>The written report of the review is to be provided to the Attorney-General by 31 October 2018.</w:t>
      </w:r>
    </w:p>
    <w:p w14:paraId="420B1CC9" w14:textId="77777777" w:rsidR="00D9331D" w:rsidRPr="007D070A" w:rsidRDefault="00D9331D" w:rsidP="007D070A">
      <w:pPr>
        <w:tabs>
          <w:tab w:val="left" w:pos="2895"/>
        </w:tabs>
      </w:pPr>
    </w:p>
    <w:sectPr w:rsidR="00D9331D" w:rsidRPr="007D070A" w:rsidSect="00555668">
      <w:footerReference w:type="default" r:id="rId9"/>
      <w:pgSz w:w="11906" w:h="16838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B1CCE" w14:textId="77777777" w:rsidR="007D070A" w:rsidRDefault="007D070A" w:rsidP="007D070A">
      <w:pPr>
        <w:spacing w:after="0" w:line="240" w:lineRule="auto"/>
      </w:pPr>
      <w:r>
        <w:separator/>
      </w:r>
    </w:p>
  </w:endnote>
  <w:endnote w:type="continuationSeparator" w:id="0">
    <w:p w14:paraId="420B1CCF" w14:textId="77777777" w:rsidR="007D070A" w:rsidRDefault="007D070A" w:rsidP="007D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1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B1CD0" w14:textId="61146A22" w:rsidR="007D070A" w:rsidRDefault="00CC1FF5" w:rsidP="00CC1FF5">
        <w:pPr>
          <w:pStyle w:val="Footer"/>
          <w:ind w:left="-426" w:firstLine="142"/>
          <w:jc w:val="right"/>
        </w:pPr>
        <w:r w:rsidRPr="005A3343">
          <w:rPr>
            <w:noProof/>
            <w:lang w:eastAsia="en-AU"/>
          </w:rPr>
          <w:drawing>
            <wp:inline distT="0" distB="0" distL="0" distR="0" wp14:anchorId="20F4EE96" wp14:editId="6F71A2C4">
              <wp:extent cx="7172325" cy="76200"/>
              <wp:effectExtent l="0" t="0" r="9525" b="0"/>
              <wp:docPr id="3" name="Picture 3" descr="Horizontal line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ctdc01fs01p\user_folder$\jonesj\Desktop\stripe.jpg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7232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Administrative Appeals Tribunal (the Tribunal) Statutory Review - Terms of Reference</w:t>
        </w:r>
        <w:r w:rsidR="007D070A">
          <w:tab/>
        </w:r>
        <w:r w:rsidR="007D070A">
          <w:tab/>
        </w:r>
        <w:r w:rsidR="007D070A">
          <w:tab/>
        </w:r>
        <w:r w:rsidR="007D070A">
          <w:fldChar w:fldCharType="begin"/>
        </w:r>
        <w:r w:rsidR="007D070A">
          <w:instrText xml:space="preserve"> PAGE   \* MERGEFORMAT </w:instrText>
        </w:r>
        <w:r w:rsidR="007D070A">
          <w:fldChar w:fldCharType="separate"/>
        </w:r>
        <w:r w:rsidR="005F4CD3">
          <w:rPr>
            <w:noProof/>
          </w:rPr>
          <w:t>1</w:t>
        </w:r>
        <w:r w:rsidR="007D070A">
          <w:rPr>
            <w:noProof/>
          </w:rPr>
          <w:fldChar w:fldCharType="end"/>
        </w:r>
      </w:p>
    </w:sdtContent>
  </w:sdt>
  <w:p w14:paraId="420B1CD1" w14:textId="77777777" w:rsidR="007D070A" w:rsidRDefault="007D0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B1CCC" w14:textId="77777777" w:rsidR="007D070A" w:rsidRDefault="007D070A" w:rsidP="007D070A">
      <w:pPr>
        <w:spacing w:after="0" w:line="240" w:lineRule="auto"/>
      </w:pPr>
      <w:r>
        <w:separator/>
      </w:r>
    </w:p>
  </w:footnote>
  <w:footnote w:type="continuationSeparator" w:id="0">
    <w:p w14:paraId="420B1CCD" w14:textId="77777777" w:rsidR="007D070A" w:rsidRDefault="007D070A" w:rsidP="007D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5FB9"/>
    <w:multiLevelType w:val="hybridMultilevel"/>
    <w:tmpl w:val="6054D582"/>
    <w:lvl w:ilvl="0" w:tplc="4A24C2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87E4CA92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162C7"/>
    <w:multiLevelType w:val="hybridMultilevel"/>
    <w:tmpl w:val="9BB05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A"/>
    <w:rsid w:val="003074C9"/>
    <w:rsid w:val="00555668"/>
    <w:rsid w:val="005F4CD3"/>
    <w:rsid w:val="007423F9"/>
    <w:rsid w:val="007D070A"/>
    <w:rsid w:val="00944990"/>
    <w:rsid w:val="00B649DD"/>
    <w:rsid w:val="00CC1FF5"/>
    <w:rsid w:val="00D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0B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70A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70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FF5"/>
    <w:pPr>
      <w:ind w:left="720"/>
      <w:contextualSpacing/>
    </w:pPr>
    <w:rPr>
      <w:rFonts w:eastAsiaTheme="minorHAnsi" w:cs="Times New Roman"/>
      <w:w w:val="1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70A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70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FF5"/>
    <w:pPr>
      <w:ind w:left="720"/>
      <w:contextualSpacing/>
    </w:pPr>
    <w:rPr>
      <w:rFonts w:eastAsiaTheme="minorHAnsi" w:cs="Times New Roman"/>
      <w:w w:val="1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14AAB92087A479D18E34414527064" ma:contentTypeVersion="1" ma:contentTypeDescription="Create a new document." ma:contentTypeScope="" ma:versionID="0292e4baf4f0b8599fd5cd7e36eef0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48A9E-7249-4621-9663-B5C2871AD72F}"/>
</file>

<file path=customXml/itemProps2.xml><?xml version="1.0" encoding="utf-8"?>
<ds:datastoreItem xmlns:ds="http://schemas.openxmlformats.org/officeDocument/2006/customXml" ds:itemID="{08B70A99-526B-4CDD-AF4D-75473B43008B}"/>
</file>

<file path=customXml/itemProps3.xml><?xml version="1.0" encoding="utf-8"?>
<ds:datastoreItem xmlns:ds="http://schemas.openxmlformats.org/officeDocument/2006/customXml" ds:itemID="{35A67254-44E4-4C6B-8CC1-25EB46B53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Appeals Tribunal (the Tribunal) Statutory Review</dc:title>
  <dc:creator/>
  <cp:lastModifiedBy/>
  <cp:revision>1</cp:revision>
  <dcterms:created xsi:type="dcterms:W3CDTF">2018-07-20T01:16:00Z</dcterms:created>
  <dcterms:modified xsi:type="dcterms:W3CDTF">2018-07-20T01:16:00Z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0x010100FC714AAB92087A479D18E34414527064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display_urn">
    <vt:lpwstr>Cox, Anthony</vt:lpwstr>
  </property>
  <property fmtid="{D5CDD505-2E9C-101B-9397-08002B2CF9AE}" pid="9" name="Order">
    <vt:r8>5100</vt:r8>
  </property>
</Properties>
</file>