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38A43" w14:textId="59553975" w:rsidR="00BB01BA" w:rsidRDefault="00BB01BA" w:rsidP="00BB01BA">
      <w:pPr>
        <w:pStyle w:val="Heading1"/>
        <w:jc w:val="center"/>
        <w:rPr>
          <w:sz w:val="52"/>
          <w:lang w:eastAsia="ja-JP"/>
        </w:rPr>
      </w:pPr>
      <w:bookmarkStart w:id="0" w:name="_Toc498612057"/>
      <w:bookmarkStart w:id="1" w:name="_Toc498614503"/>
      <w:bookmarkStart w:id="2" w:name="_Toc498619145"/>
      <w:bookmarkStart w:id="3" w:name="_Toc498674473"/>
      <w:bookmarkStart w:id="4" w:name="_Toc499197083"/>
      <w:bookmarkStart w:id="5" w:name="_Toc499206375"/>
      <w:bookmarkStart w:id="6" w:name="_Toc499912041"/>
      <w:bookmarkStart w:id="7" w:name="_Toc500151901"/>
      <w:bookmarkStart w:id="8" w:name="_Toc500925679"/>
      <w:bookmarkStart w:id="9" w:name="_Toc501363268"/>
      <w:bookmarkStart w:id="10" w:name="_Toc502683559"/>
      <w:bookmarkStart w:id="11" w:name="_Toc502741064"/>
      <w:r>
        <w:rPr>
          <w:sz w:val="52"/>
          <w:lang w:eastAsia="ja-JP"/>
        </w:rPr>
        <w:t>Feedback from the</w:t>
      </w:r>
      <w:r w:rsidRPr="009D536E">
        <w:rPr>
          <w:sz w:val="52"/>
          <w:lang w:eastAsia="ja-JP"/>
        </w:rPr>
        <w:t xml:space="preserve"> National </w:t>
      </w:r>
      <w:r>
        <w:rPr>
          <w:sz w:val="52"/>
          <w:lang w:eastAsia="ja-JP"/>
        </w:rPr>
        <w:t xml:space="preserve">Legal Assistance </w:t>
      </w:r>
      <w:r w:rsidRPr="009D536E">
        <w:rPr>
          <w:sz w:val="52"/>
          <w:lang w:eastAsia="ja-JP"/>
        </w:rPr>
        <w:t xml:space="preserve">Partnership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F22CF3">
        <w:rPr>
          <w:sz w:val="52"/>
          <w:lang w:eastAsia="ja-JP"/>
        </w:rPr>
        <w:t>Overview P</w:t>
      </w:r>
      <w:r>
        <w:rPr>
          <w:sz w:val="52"/>
          <w:lang w:eastAsia="ja-JP"/>
        </w:rPr>
        <w:t xml:space="preserve">aper – </w:t>
      </w:r>
      <w:r w:rsidR="004E1EF7">
        <w:rPr>
          <w:sz w:val="52"/>
          <w:lang w:eastAsia="ja-JP"/>
        </w:rPr>
        <w:t xml:space="preserve">October </w:t>
      </w:r>
      <w:r>
        <w:rPr>
          <w:sz w:val="52"/>
          <w:lang w:eastAsia="ja-JP"/>
        </w:rPr>
        <w:t>2019</w:t>
      </w:r>
    </w:p>
    <w:p w14:paraId="6B3BEE59" w14:textId="77777777" w:rsidR="00BB01BA" w:rsidRPr="00BB01BA" w:rsidRDefault="00BB01BA" w:rsidP="00BB01BA">
      <w:pPr>
        <w:rPr>
          <w:lang w:val="en-AU" w:eastAsia="ja-JP"/>
        </w:rPr>
      </w:pPr>
    </w:p>
    <w:tbl>
      <w:tblPr>
        <w:tblStyle w:val="TableGrid"/>
        <w:tblW w:w="14204" w:type="dxa"/>
        <w:tblInd w:w="-34" w:type="dxa"/>
        <w:tblLook w:val="04A0" w:firstRow="1" w:lastRow="0" w:firstColumn="1" w:lastColumn="0" w:noHBand="0" w:noVBand="1"/>
      </w:tblPr>
      <w:tblGrid>
        <w:gridCol w:w="2836"/>
        <w:gridCol w:w="11368"/>
      </w:tblGrid>
      <w:tr w:rsidR="00BB01BA" w14:paraId="7A4BAA17" w14:textId="77777777" w:rsidTr="00BB01BA">
        <w:trPr>
          <w:trHeight w:val="627"/>
        </w:trPr>
        <w:tc>
          <w:tcPr>
            <w:tcW w:w="2836" w:type="dxa"/>
            <w:shd w:val="clear" w:color="auto" w:fill="1F3864" w:themeFill="accent5" w:themeFillShade="80"/>
            <w:vAlign w:val="center"/>
          </w:tcPr>
          <w:p w14:paraId="7533CD81" w14:textId="77777777" w:rsidR="00BB01BA" w:rsidRPr="00F31622" w:rsidRDefault="00BB01BA" w:rsidP="00BA4773">
            <w:pPr>
              <w:rPr>
                <w:b/>
                <w:color w:val="FFFFFF" w:themeColor="background1"/>
                <w:sz w:val="28"/>
              </w:rPr>
            </w:pPr>
            <w:r w:rsidRPr="00F31622">
              <w:rPr>
                <w:b/>
                <w:color w:val="FFFFFF" w:themeColor="background1"/>
                <w:sz w:val="28"/>
              </w:rPr>
              <w:t>Organisation/Agency</w:t>
            </w:r>
          </w:p>
        </w:tc>
        <w:tc>
          <w:tcPr>
            <w:tcW w:w="11368" w:type="dxa"/>
            <w:vAlign w:val="center"/>
          </w:tcPr>
          <w:p w14:paraId="5F5FD3C2" w14:textId="77777777" w:rsidR="00BB01BA" w:rsidRPr="00F31622" w:rsidRDefault="00BB01BA" w:rsidP="00BA4773">
            <w:pPr>
              <w:rPr>
                <w:sz w:val="28"/>
              </w:rPr>
            </w:pPr>
          </w:p>
        </w:tc>
      </w:tr>
      <w:tr w:rsidR="00BB01BA" w14:paraId="67266190" w14:textId="77777777" w:rsidTr="00BB01BA">
        <w:trPr>
          <w:trHeight w:val="627"/>
        </w:trPr>
        <w:tc>
          <w:tcPr>
            <w:tcW w:w="2836" w:type="dxa"/>
            <w:shd w:val="clear" w:color="auto" w:fill="1F3864" w:themeFill="accent5" w:themeFillShade="80"/>
            <w:vAlign w:val="center"/>
          </w:tcPr>
          <w:p w14:paraId="43C934C8" w14:textId="77777777" w:rsidR="00BB01BA" w:rsidRPr="00F31622" w:rsidRDefault="00BB01BA" w:rsidP="00BA4773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Contact person</w:t>
            </w:r>
          </w:p>
        </w:tc>
        <w:tc>
          <w:tcPr>
            <w:tcW w:w="11368" w:type="dxa"/>
            <w:vAlign w:val="center"/>
          </w:tcPr>
          <w:p w14:paraId="18FAC363" w14:textId="77777777" w:rsidR="00BB01BA" w:rsidRPr="00F31622" w:rsidRDefault="00BB01BA" w:rsidP="00BA4773">
            <w:pPr>
              <w:rPr>
                <w:sz w:val="28"/>
              </w:rPr>
            </w:pPr>
          </w:p>
        </w:tc>
      </w:tr>
      <w:tr w:rsidR="00BB01BA" w14:paraId="4FE118D9" w14:textId="77777777" w:rsidTr="00BB01BA">
        <w:trPr>
          <w:trHeight w:val="627"/>
        </w:trPr>
        <w:tc>
          <w:tcPr>
            <w:tcW w:w="2836" w:type="dxa"/>
            <w:shd w:val="clear" w:color="auto" w:fill="1F3864" w:themeFill="accent5" w:themeFillShade="80"/>
            <w:vAlign w:val="center"/>
          </w:tcPr>
          <w:p w14:paraId="4679BEC8" w14:textId="77777777" w:rsidR="00BB01BA" w:rsidRPr="00F31622" w:rsidRDefault="00BB01BA" w:rsidP="00BA4773">
            <w:pPr>
              <w:rPr>
                <w:b/>
                <w:color w:val="FFFFFF" w:themeColor="background1"/>
                <w:sz w:val="28"/>
              </w:rPr>
            </w:pPr>
            <w:r w:rsidRPr="00F31622">
              <w:rPr>
                <w:b/>
                <w:color w:val="FFFFFF" w:themeColor="background1"/>
                <w:sz w:val="28"/>
              </w:rPr>
              <w:t>Email</w:t>
            </w:r>
          </w:p>
        </w:tc>
        <w:tc>
          <w:tcPr>
            <w:tcW w:w="11368" w:type="dxa"/>
            <w:vAlign w:val="center"/>
          </w:tcPr>
          <w:p w14:paraId="4798E6F5" w14:textId="77777777" w:rsidR="00BB01BA" w:rsidRPr="00F31622" w:rsidRDefault="00BB01BA" w:rsidP="00BA4773">
            <w:pPr>
              <w:rPr>
                <w:sz w:val="28"/>
              </w:rPr>
            </w:pPr>
          </w:p>
        </w:tc>
      </w:tr>
      <w:tr w:rsidR="00BB01BA" w14:paraId="49DA8599" w14:textId="77777777" w:rsidTr="00BB01BA">
        <w:trPr>
          <w:trHeight w:val="627"/>
        </w:trPr>
        <w:tc>
          <w:tcPr>
            <w:tcW w:w="2836" w:type="dxa"/>
            <w:shd w:val="clear" w:color="auto" w:fill="1F3864" w:themeFill="accent5" w:themeFillShade="80"/>
            <w:vAlign w:val="center"/>
          </w:tcPr>
          <w:p w14:paraId="0983207E" w14:textId="77777777" w:rsidR="00BB01BA" w:rsidRPr="00F31622" w:rsidRDefault="00BB01BA" w:rsidP="00BA4773">
            <w:pPr>
              <w:rPr>
                <w:b/>
                <w:color w:val="FFFFFF" w:themeColor="background1"/>
                <w:sz w:val="28"/>
              </w:rPr>
            </w:pPr>
            <w:r w:rsidRPr="00F31622">
              <w:rPr>
                <w:b/>
                <w:color w:val="FFFFFF" w:themeColor="background1"/>
                <w:sz w:val="28"/>
              </w:rPr>
              <w:t>Contact Number</w:t>
            </w:r>
          </w:p>
        </w:tc>
        <w:tc>
          <w:tcPr>
            <w:tcW w:w="11368" w:type="dxa"/>
            <w:vAlign w:val="center"/>
          </w:tcPr>
          <w:p w14:paraId="06822538" w14:textId="77777777" w:rsidR="00BB01BA" w:rsidRPr="00F31622" w:rsidRDefault="00BB01BA" w:rsidP="00BA4773">
            <w:pPr>
              <w:rPr>
                <w:sz w:val="28"/>
              </w:rPr>
            </w:pPr>
          </w:p>
        </w:tc>
      </w:tr>
    </w:tbl>
    <w:p w14:paraId="5F441785" w14:textId="77777777" w:rsidR="00D150E1" w:rsidRDefault="00423E0C" w:rsidP="00BB01BA"/>
    <w:p w14:paraId="52473A75" w14:textId="77777777" w:rsidR="00BB01BA" w:rsidRPr="00BB01BA" w:rsidRDefault="00BB01BA" w:rsidP="00BB01BA">
      <w:pPr>
        <w:pStyle w:val="Heading3"/>
        <w:spacing w:before="240"/>
        <w:rPr>
          <w:b/>
          <w:lang w:eastAsia="en-AU"/>
        </w:rPr>
      </w:pPr>
      <w:r w:rsidRPr="00BB01BA">
        <w:rPr>
          <w:b/>
          <w:lang w:eastAsia="en-AU"/>
        </w:rPr>
        <w:t>Feedback instructions</w:t>
      </w:r>
    </w:p>
    <w:p w14:paraId="119A7EFC" w14:textId="47F95257" w:rsidR="00F025E7" w:rsidRDefault="00BB01BA" w:rsidP="00BB01BA">
      <w:r>
        <w:rPr>
          <w:lang w:eastAsia="en-AU"/>
        </w:rPr>
        <w:t xml:space="preserve">This form has been prepared by the </w:t>
      </w:r>
      <w:r>
        <w:t>Commonwealth</w:t>
      </w:r>
      <w:r w:rsidRPr="00825A02">
        <w:t xml:space="preserve"> Attorney</w:t>
      </w:r>
      <w:r w:rsidRPr="00825A02">
        <w:noBreakHyphen/>
        <w:t xml:space="preserve">General’s Department (AGD) </w:t>
      </w:r>
      <w:r>
        <w:t xml:space="preserve">in order to gather feedback on the </w:t>
      </w:r>
      <w:r>
        <w:rPr>
          <w:i/>
        </w:rPr>
        <w:t>National Legal Assistance Partnership – Overview Paper</w:t>
      </w:r>
      <w:r>
        <w:t xml:space="preserve"> of </w:t>
      </w:r>
      <w:r w:rsidR="004E1EF7">
        <w:t xml:space="preserve">October </w:t>
      </w:r>
      <w:r>
        <w:t xml:space="preserve">2019. </w:t>
      </w:r>
      <w:r w:rsidR="00AE6E50">
        <w:t xml:space="preserve">The paper reflects </w:t>
      </w:r>
      <w:r w:rsidR="00157062">
        <w:t xml:space="preserve">of the Australian </w:t>
      </w:r>
      <w:r w:rsidR="00E100BF">
        <w:t>Governments’</w:t>
      </w:r>
      <w:r w:rsidR="00157062">
        <w:t xml:space="preserve"> proposed</w:t>
      </w:r>
      <w:r w:rsidR="00AE6E50">
        <w:t xml:space="preserve"> future legal assistance arrangements</w:t>
      </w:r>
      <w:r w:rsidR="00157062">
        <w:t xml:space="preserve"> and</w:t>
      </w:r>
      <w:r w:rsidR="00AE6E50">
        <w:t xml:space="preserve"> follow</w:t>
      </w:r>
      <w:r w:rsidR="00157062">
        <w:t>s</w:t>
      </w:r>
      <w:r w:rsidR="00AE6E50">
        <w:t xml:space="preserve"> the</w:t>
      </w:r>
      <w:r w:rsidR="00157062">
        <w:t xml:space="preserve"> 2018</w:t>
      </w:r>
      <w:r w:rsidR="00AE6E50">
        <w:t xml:space="preserve"> reviews of the </w:t>
      </w:r>
      <w:r w:rsidR="00AE6E50" w:rsidRPr="00EC731C">
        <w:rPr>
          <w:i/>
        </w:rPr>
        <w:t>National Partnership Agreement on Legal Assistance Services 2015-20</w:t>
      </w:r>
      <w:r w:rsidR="00AE6E50">
        <w:t xml:space="preserve"> and the Indigenous Legal Assistance Program. </w:t>
      </w:r>
      <w:r w:rsidR="00F22CF3">
        <w:t xml:space="preserve">As such, </w:t>
      </w:r>
      <w:r w:rsidR="00AE6E50">
        <w:t xml:space="preserve">AGD requests that </w:t>
      </w:r>
      <w:r w:rsidR="00121362">
        <w:t xml:space="preserve">parties do not </w:t>
      </w:r>
      <w:r w:rsidR="00157062">
        <w:t xml:space="preserve">unnecessarily reiterate </w:t>
      </w:r>
      <w:r w:rsidR="00EC731C">
        <w:t xml:space="preserve">feedback </w:t>
      </w:r>
      <w:r w:rsidR="00157062">
        <w:t>provided previously in the</w:t>
      </w:r>
      <w:r w:rsidR="00121362">
        <w:t xml:space="preserve"> review</w:t>
      </w:r>
      <w:r w:rsidR="00157062">
        <w:t xml:space="preserve"> processes</w:t>
      </w:r>
      <w:r w:rsidR="00121362">
        <w:t xml:space="preserve"> or </w:t>
      </w:r>
      <w:r w:rsidR="00157062">
        <w:t xml:space="preserve">in </w:t>
      </w:r>
      <w:r w:rsidR="00EC731C">
        <w:t xml:space="preserve">a </w:t>
      </w:r>
      <w:proofErr w:type="spellStart"/>
      <w:r w:rsidR="00EC731C">
        <w:t>publically</w:t>
      </w:r>
      <w:proofErr w:type="spellEnd"/>
      <w:r w:rsidR="00EC731C">
        <w:t xml:space="preserve"> available submission to the review</w:t>
      </w:r>
      <w:r w:rsidR="00157062">
        <w:t>ers</w:t>
      </w:r>
      <w:r w:rsidR="00AE6E50">
        <w:t xml:space="preserve">. </w:t>
      </w:r>
    </w:p>
    <w:p w14:paraId="6F065346" w14:textId="0F25BA48" w:rsidR="00BB01BA" w:rsidRDefault="00F025E7" w:rsidP="00BB01BA">
      <w:r>
        <w:t xml:space="preserve">The paper also includes an updated version of the </w:t>
      </w:r>
      <w:r w:rsidRPr="00F025E7">
        <w:rPr>
          <w:i/>
        </w:rPr>
        <w:t>National Strategic Framework for Legal Assistance</w:t>
      </w:r>
      <w:r>
        <w:t xml:space="preserve"> based on feedback received </w:t>
      </w:r>
      <w:r w:rsidR="00EC731C">
        <w:t xml:space="preserve">in 2019 </w:t>
      </w:r>
      <w:r>
        <w:t xml:space="preserve">from state and territory departments, Commonwealth agencies that administer legal assistance programs, national legal assistance peak bodies and other relevant organisations. </w:t>
      </w:r>
      <w:r w:rsidR="00157062">
        <w:t>P</w:t>
      </w:r>
      <w:r w:rsidR="00F22CF3">
        <w:t>revious feedback has already been considered and actioned where appropriate</w:t>
      </w:r>
      <w:r>
        <w:t xml:space="preserve">. </w:t>
      </w:r>
    </w:p>
    <w:p w14:paraId="60B59A71" w14:textId="03D8E12E" w:rsidR="00BB01BA" w:rsidRPr="00960B6C" w:rsidRDefault="00157062" w:rsidP="00BB01BA">
      <w:r>
        <w:t>It is preferred that f</w:t>
      </w:r>
      <w:r w:rsidR="00F025E7">
        <w:t xml:space="preserve">eedback from individual community legal centres, legal aid commissions, Aboriginal and Torres Strait Islander legal services and family violence prevention legal services should be provided </w:t>
      </w:r>
      <w:r w:rsidR="00AE6E50">
        <w:t>to</w:t>
      </w:r>
      <w:r w:rsidR="00D91A3D">
        <w:t xml:space="preserve"> national peak bodies </w:t>
      </w:r>
      <w:r w:rsidR="00AE6E50">
        <w:t>for a consolidated response. C</w:t>
      </w:r>
      <w:r w:rsidR="00BB01BA">
        <w:t>omments or feedback on the Paper</w:t>
      </w:r>
      <w:r w:rsidR="00BB01BA">
        <w:rPr>
          <w:i/>
        </w:rPr>
        <w:t xml:space="preserve"> </w:t>
      </w:r>
      <w:r w:rsidR="00BB01BA">
        <w:t xml:space="preserve">should </w:t>
      </w:r>
      <w:r w:rsidR="00AE6E50">
        <w:t xml:space="preserve">be provided by </w:t>
      </w:r>
      <w:r w:rsidR="00BB01BA">
        <w:t>complet</w:t>
      </w:r>
      <w:r w:rsidR="00AE6E50">
        <w:t>ing</w:t>
      </w:r>
      <w:r w:rsidR="00BB01BA">
        <w:t xml:space="preserve"> this form</w:t>
      </w:r>
      <w:r w:rsidR="00AE6E50">
        <w:t xml:space="preserve"> which </w:t>
      </w:r>
      <w:r w:rsidR="00BB01BA">
        <w:t xml:space="preserve">should be emailed to </w:t>
      </w:r>
      <w:hyperlink r:id="rId8" w:history="1">
        <w:r w:rsidR="00BB01BA" w:rsidRPr="000F5B6B">
          <w:rPr>
            <w:rStyle w:val="Hyperlink"/>
          </w:rPr>
          <w:t>legalassistance@ag.gov.au</w:t>
        </w:r>
      </w:hyperlink>
      <w:r w:rsidR="00BB01BA">
        <w:t xml:space="preserve"> by </w:t>
      </w:r>
      <w:r w:rsidR="00E100BF" w:rsidRPr="00E100BF">
        <w:rPr>
          <w:b/>
        </w:rPr>
        <w:t>5</w:t>
      </w:r>
      <w:r w:rsidR="00E100BF">
        <w:rPr>
          <w:b/>
        </w:rPr>
        <w:t>pm </w:t>
      </w:r>
      <w:r w:rsidR="008273D2" w:rsidRPr="00E100BF">
        <w:rPr>
          <w:b/>
        </w:rPr>
        <w:t>Friday</w:t>
      </w:r>
      <w:r w:rsidR="00E100BF">
        <w:rPr>
          <w:b/>
        </w:rPr>
        <w:t> </w:t>
      </w:r>
      <w:r w:rsidR="008273D2" w:rsidRPr="00E100BF">
        <w:rPr>
          <w:b/>
        </w:rPr>
        <w:t>15</w:t>
      </w:r>
      <w:r w:rsidR="00E100BF">
        <w:rPr>
          <w:b/>
        </w:rPr>
        <w:t> </w:t>
      </w:r>
      <w:r w:rsidR="008273D2" w:rsidRPr="00E100BF">
        <w:rPr>
          <w:b/>
        </w:rPr>
        <w:t>November</w:t>
      </w:r>
      <w:r w:rsidR="00E100BF">
        <w:rPr>
          <w:b/>
        </w:rPr>
        <w:t> </w:t>
      </w:r>
      <w:r w:rsidR="008273D2" w:rsidRPr="00E100BF">
        <w:rPr>
          <w:b/>
        </w:rPr>
        <w:t>2019</w:t>
      </w:r>
      <w:r w:rsidR="00BB01BA" w:rsidRPr="00E100BF">
        <w:rPr>
          <w:b/>
        </w:rPr>
        <w:t>.</w:t>
      </w:r>
      <w:r w:rsidR="00BB01BA">
        <w:t xml:space="preserve"> </w:t>
      </w:r>
    </w:p>
    <w:p w14:paraId="31F2BE30" w14:textId="77777777" w:rsidR="00BB01BA" w:rsidRDefault="00BB01BA" w:rsidP="00BB01BA">
      <w:r>
        <w:t xml:space="preserve">Completed forms will </w:t>
      </w:r>
      <w:r w:rsidRPr="007A2C8A">
        <w:rPr>
          <w:u w:val="single"/>
        </w:rPr>
        <w:t>NOT</w:t>
      </w:r>
      <w:r w:rsidRPr="007A2C8A">
        <w:t xml:space="preserve"> </w:t>
      </w:r>
      <w:r>
        <w:t xml:space="preserve">be published publicly (unless permission has been sought by AGD to do so). </w:t>
      </w:r>
    </w:p>
    <w:p w14:paraId="487708CF" w14:textId="77777777" w:rsidR="00BB01BA" w:rsidRDefault="00BB01BA" w:rsidP="00B926FF">
      <w:pPr>
        <w:pStyle w:val="Heading3"/>
        <w:ind w:left="-142" w:hanging="142"/>
        <w:rPr>
          <w:b/>
          <w:lang w:eastAsia="en-AU"/>
        </w:rPr>
      </w:pPr>
      <w:r w:rsidRPr="00BB01BA">
        <w:rPr>
          <w:b/>
          <w:lang w:eastAsia="en-AU"/>
        </w:rPr>
        <w:lastRenderedPageBreak/>
        <w:t xml:space="preserve">Feedback form – </w:t>
      </w:r>
      <w:r>
        <w:rPr>
          <w:b/>
          <w:lang w:eastAsia="en-AU"/>
        </w:rPr>
        <w:t>NLAP Overview Paper</w:t>
      </w:r>
    </w:p>
    <w:tbl>
      <w:tblPr>
        <w:tblStyle w:val="TableGrid"/>
        <w:tblW w:w="146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96"/>
        <w:gridCol w:w="8534"/>
      </w:tblGrid>
      <w:tr w:rsidR="00F02B51" w:rsidRPr="008B22F9" w14:paraId="62D5A313" w14:textId="77777777" w:rsidTr="00732F49">
        <w:trPr>
          <w:cantSplit/>
          <w:tblHeader/>
        </w:trPr>
        <w:tc>
          <w:tcPr>
            <w:tcW w:w="6096" w:type="dxa"/>
            <w:shd w:val="clear" w:color="auto" w:fill="2F5496" w:themeFill="accent5" w:themeFillShade="BF"/>
            <w:vAlign w:val="center"/>
          </w:tcPr>
          <w:p w14:paraId="1999D115" w14:textId="4E9C53C0" w:rsidR="00F02B51" w:rsidRPr="008B22F9" w:rsidRDefault="00F22CF3" w:rsidP="00BB01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NLAP Overview Paper</w:t>
            </w:r>
          </w:p>
        </w:tc>
        <w:tc>
          <w:tcPr>
            <w:tcW w:w="8534" w:type="dxa"/>
            <w:shd w:val="clear" w:color="auto" w:fill="2F5496" w:themeFill="accent5" w:themeFillShade="BF"/>
            <w:vAlign w:val="center"/>
          </w:tcPr>
          <w:p w14:paraId="3CF6CAFA" w14:textId="77777777" w:rsidR="00F02B51" w:rsidRPr="008B22F9" w:rsidRDefault="00F02B51" w:rsidP="00BB01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Comment</w:t>
            </w:r>
          </w:p>
        </w:tc>
      </w:tr>
      <w:tr w:rsidR="00722C9B" w:rsidRPr="009D536E" w14:paraId="2566FCC4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0AC0E6E8" w14:textId="23B48AB9" w:rsidR="00722C9B" w:rsidRPr="00722C9B" w:rsidRDefault="00722C9B" w:rsidP="00722C9B">
            <w:pPr>
              <w:spacing w:before="60" w:after="60"/>
              <w:rPr>
                <w:b/>
              </w:rPr>
            </w:pPr>
            <w:r w:rsidRPr="005F5BF2">
              <w:rPr>
                <w:b/>
                <w:sz w:val="22"/>
              </w:rPr>
              <w:t>PART 1: NATIONAL LEGAL ASSISTANCE PARTNERSHIP</w:t>
            </w:r>
          </w:p>
        </w:tc>
      </w:tr>
      <w:tr w:rsidR="00732F49" w:rsidRPr="009D536E" w14:paraId="201AD22D" w14:textId="77777777" w:rsidTr="005F5BF2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2FDBBEFA" w14:textId="77777777" w:rsidR="00732F49" w:rsidRPr="00722C9B" w:rsidRDefault="00732F49" w:rsidP="00722C9B">
            <w:pPr>
              <w:rPr>
                <w:b/>
              </w:rPr>
            </w:pPr>
            <w:r w:rsidRPr="00722C9B">
              <w:rPr>
                <w:b/>
              </w:rPr>
              <w:t>Key elements to the NLAP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5305C9C8" w14:textId="427C2672" w:rsidR="00732F49" w:rsidRPr="00732F49" w:rsidRDefault="00732F49" w:rsidP="00732F4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/>
                <w:b/>
              </w:rPr>
            </w:pPr>
          </w:p>
        </w:tc>
      </w:tr>
      <w:tr w:rsidR="00722C9B" w:rsidRPr="00722C9B" w14:paraId="5BE32C71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169B38EA" w14:textId="432FCDD9" w:rsidR="00722C9B" w:rsidRPr="00722C9B" w:rsidRDefault="00722C9B" w:rsidP="00722C9B">
            <w:pPr>
              <w:spacing w:before="60" w:after="60"/>
              <w:rPr>
                <w:b/>
              </w:rPr>
            </w:pPr>
            <w:r w:rsidRPr="005F5BF2">
              <w:rPr>
                <w:b/>
                <w:sz w:val="22"/>
              </w:rPr>
              <w:t>PART 2: OPERATION OF THE NLAP</w:t>
            </w:r>
          </w:p>
        </w:tc>
      </w:tr>
      <w:tr w:rsidR="00722C9B" w:rsidRPr="009D536E" w14:paraId="2FBC3920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62F5C084" w14:textId="66BC3C1E" w:rsidR="00722C9B" w:rsidRDefault="00722C9B" w:rsidP="0022626E">
            <w:pPr>
              <w:spacing w:before="30" w:after="30"/>
            </w:pPr>
            <w:r>
              <w:t>Multilateral agreement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08E7628C" w14:textId="77777777" w:rsidR="00722C9B" w:rsidRPr="008443FF" w:rsidRDefault="00722C9B" w:rsidP="0022626E">
            <w:pPr>
              <w:pStyle w:val="ListParagraph"/>
              <w:numPr>
                <w:ilvl w:val="0"/>
                <w:numId w:val="7"/>
              </w:numPr>
              <w:spacing w:before="30" w:after="30"/>
            </w:pPr>
          </w:p>
        </w:tc>
      </w:tr>
      <w:tr w:rsidR="00722C9B" w:rsidRPr="009D536E" w14:paraId="45B2B76E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100BEE58" w14:textId="441085D7" w:rsidR="00722C9B" w:rsidRDefault="00722C9B" w:rsidP="0022626E">
            <w:pPr>
              <w:spacing w:before="30" w:after="30"/>
            </w:pPr>
            <w:r>
              <w:t>Bilateral agreements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34C35C25" w14:textId="77777777" w:rsidR="00722C9B" w:rsidRPr="008443FF" w:rsidRDefault="00722C9B" w:rsidP="0022626E">
            <w:pPr>
              <w:pStyle w:val="ListParagraph"/>
              <w:numPr>
                <w:ilvl w:val="0"/>
                <w:numId w:val="7"/>
              </w:numPr>
              <w:spacing w:before="30" w:after="30"/>
            </w:pPr>
          </w:p>
        </w:tc>
      </w:tr>
      <w:tr w:rsidR="00732F49" w:rsidRPr="009D536E" w14:paraId="58997A90" w14:textId="77777777" w:rsidTr="005F5BF2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A265952" w14:textId="77777777" w:rsidR="00732F49" w:rsidRPr="00722C9B" w:rsidRDefault="00732F49" w:rsidP="00722C9B">
            <w:r w:rsidRPr="00722C9B">
              <w:rPr>
                <w:b/>
              </w:rPr>
              <w:t>Funding streams under the NLAP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3D03DF47" w14:textId="7BDD76E0" w:rsidR="00732F49" w:rsidRPr="00732F49" w:rsidRDefault="00732F49" w:rsidP="00732F4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/>
              </w:rPr>
            </w:pPr>
          </w:p>
        </w:tc>
      </w:tr>
      <w:tr w:rsidR="00722C9B" w:rsidRPr="009D536E" w14:paraId="7CA6031D" w14:textId="77777777" w:rsidTr="005F5BF2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0CEC999" w14:textId="0B4CF89E" w:rsidR="00722C9B" w:rsidRDefault="00722C9B" w:rsidP="0022626E">
            <w:pPr>
              <w:spacing w:before="30" w:after="30"/>
            </w:pPr>
            <w:r>
              <w:t>State and territory funding distribution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4818DB68" w14:textId="77777777" w:rsidR="00722C9B" w:rsidRPr="008443FF" w:rsidRDefault="00722C9B" w:rsidP="00732F49">
            <w:pPr>
              <w:pStyle w:val="ListParagraph"/>
              <w:numPr>
                <w:ilvl w:val="0"/>
                <w:numId w:val="16"/>
              </w:numPr>
              <w:spacing w:before="30" w:after="30"/>
            </w:pPr>
          </w:p>
        </w:tc>
      </w:tr>
      <w:tr w:rsidR="00722C9B" w:rsidRPr="009D536E" w14:paraId="4B82E75F" w14:textId="77777777" w:rsidTr="005F5BF2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652CE491" w14:textId="77F30851" w:rsidR="00722C9B" w:rsidRDefault="00722C9B" w:rsidP="0022626E">
            <w:pPr>
              <w:spacing w:before="30" w:after="30"/>
            </w:pPr>
            <w:r>
              <w:t>State and territory funding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064977BB" w14:textId="77777777" w:rsidR="00722C9B" w:rsidRPr="008443FF" w:rsidRDefault="00722C9B" w:rsidP="00732F49">
            <w:pPr>
              <w:pStyle w:val="ListParagraph"/>
              <w:numPr>
                <w:ilvl w:val="0"/>
                <w:numId w:val="16"/>
              </w:numPr>
              <w:spacing w:before="30" w:after="30"/>
            </w:pPr>
          </w:p>
        </w:tc>
      </w:tr>
      <w:tr w:rsidR="00732F49" w:rsidRPr="009D536E" w14:paraId="1CBDEEB0" w14:textId="77777777" w:rsidTr="005F5BF2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671AB2E7" w14:textId="77777777" w:rsidR="00732F49" w:rsidRPr="00722C9B" w:rsidRDefault="00732F49" w:rsidP="00722C9B">
            <w:pPr>
              <w:spacing w:before="30" w:after="10"/>
            </w:pPr>
            <w:r w:rsidRPr="00722C9B">
              <w:rPr>
                <w:b/>
              </w:rPr>
              <w:t>Financial arrangements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33F6C3AF" w14:textId="3FA2E43C" w:rsidR="00732F49" w:rsidRPr="00732F49" w:rsidRDefault="00732F49" w:rsidP="00732F49">
            <w:pPr>
              <w:pStyle w:val="ListParagraph"/>
              <w:numPr>
                <w:ilvl w:val="0"/>
                <w:numId w:val="16"/>
              </w:numPr>
              <w:spacing w:before="30" w:after="10" w:line="240" w:lineRule="auto"/>
              <w:rPr>
                <w:rFonts w:ascii="Calibri" w:hAnsi="Calibri"/>
              </w:rPr>
            </w:pPr>
          </w:p>
        </w:tc>
      </w:tr>
      <w:tr w:rsidR="00722C9B" w:rsidRPr="009D536E" w14:paraId="3F5CCFE3" w14:textId="77777777" w:rsidTr="005F5BF2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065F1C0E" w14:textId="1ECFDF7C" w:rsidR="00722C9B" w:rsidRDefault="00722C9B" w:rsidP="0022626E">
            <w:pPr>
              <w:spacing w:before="30" w:after="30"/>
            </w:pPr>
            <w:r>
              <w:t>General Principles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09C400BC" w14:textId="77777777" w:rsidR="00722C9B" w:rsidRPr="00722C9B" w:rsidRDefault="00722C9B" w:rsidP="00732F49">
            <w:pPr>
              <w:pStyle w:val="ListParagraph"/>
              <w:numPr>
                <w:ilvl w:val="0"/>
                <w:numId w:val="16"/>
              </w:numPr>
              <w:spacing w:before="30" w:after="30" w:line="240" w:lineRule="auto"/>
              <w:rPr>
                <w:rFonts w:ascii="Calibri" w:hAnsi="Calibri"/>
              </w:rPr>
            </w:pPr>
          </w:p>
        </w:tc>
      </w:tr>
      <w:tr w:rsidR="00722C9B" w:rsidRPr="009D536E" w14:paraId="6578D1E9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6719BFDE" w14:textId="422435A5" w:rsidR="00722C9B" w:rsidRDefault="00722C9B" w:rsidP="0022626E">
            <w:pPr>
              <w:spacing w:before="30" w:after="30"/>
            </w:pPr>
            <w:r>
              <w:t>Mainstream and specialist legal assistance services</w:t>
            </w:r>
          </w:p>
          <w:p w14:paraId="3BE79C54" w14:textId="77777777" w:rsidR="00722C9B" w:rsidRDefault="00722C9B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Baseline funding</w:t>
            </w:r>
          </w:p>
          <w:p w14:paraId="225CFEFF" w14:textId="77777777" w:rsidR="00722C9B" w:rsidRDefault="00722C9B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Expensive Commonwealth criminal cases supplementation</w:t>
            </w:r>
          </w:p>
          <w:p w14:paraId="308D91EE" w14:textId="77777777" w:rsidR="00722C9B" w:rsidRDefault="00722C9B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Domestic violence units and health justice partnerships</w:t>
            </w:r>
          </w:p>
          <w:p w14:paraId="6523AC84" w14:textId="652785DD" w:rsidR="00722C9B" w:rsidRPr="00722C9B" w:rsidRDefault="00722C9B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Family Advocacy and Support Services</w:t>
            </w:r>
          </w:p>
        </w:tc>
        <w:tc>
          <w:tcPr>
            <w:tcW w:w="8534" w:type="dxa"/>
            <w:vAlign w:val="center"/>
          </w:tcPr>
          <w:p w14:paraId="6900BB22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5C17F4F8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1E1DC455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7701BC7B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249E3C37" w14:textId="77777777" w:rsidR="00722C9B" w:rsidRPr="00722C9B" w:rsidRDefault="00722C9B" w:rsidP="00732F49">
            <w:pPr>
              <w:pStyle w:val="ListParagraph"/>
              <w:numPr>
                <w:ilvl w:val="0"/>
                <w:numId w:val="9"/>
              </w:numPr>
              <w:spacing w:before="30" w:after="30" w:line="240" w:lineRule="auto"/>
              <w:rPr>
                <w:rFonts w:ascii="Calibri" w:hAnsi="Calibri"/>
              </w:rPr>
            </w:pPr>
          </w:p>
        </w:tc>
      </w:tr>
      <w:tr w:rsidR="00722C9B" w:rsidRPr="009D536E" w14:paraId="7F1A1467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268DAF20" w14:textId="77D34D3A" w:rsidR="00722C9B" w:rsidRDefault="00722C9B" w:rsidP="0022626E">
            <w:pPr>
              <w:spacing w:before="30" w:after="30"/>
            </w:pPr>
            <w:r>
              <w:t>Aboriginal and Torres Strait Islander specific legal assistance services</w:t>
            </w:r>
          </w:p>
          <w:p w14:paraId="238FEE29" w14:textId="4D01D1DF" w:rsidR="00722C9B" w:rsidRPr="00722C9B" w:rsidRDefault="00722C9B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Baseline funding</w:t>
            </w:r>
          </w:p>
        </w:tc>
        <w:tc>
          <w:tcPr>
            <w:tcW w:w="8534" w:type="dxa"/>
            <w:vAlign w:val="center"/>
          </w:tcPr>
          <w:p w14:paraId="18A89F17" w14:textId="77777777" w:rsidR="00732F49" w:rsidRDefault="00732F49" w:rsidP="00732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/>
              </w:rPr>
            </w:pPr>
          </w:p>
          <w:p w14:paraId="63B05782" w14:textId="77777777" w:rsidR="00722C9B" w:rsidRPr="00722C9B" w:rsidRDefault="00722C9B" w:rsidP="00732F49">
            <w:pPr>
              <w:pStyle w:val="ListParagraph"/>
              <w:numPr>
                <w:ilvl w:val="0"/>
                <w:numId w:val="10"/>
              </w:numPr>
              <w:spacing w:before="30" w:after="30" w:line="240" w:lineRule="auto"/>
              <w:rPr>
                <w:rFonts w:ascii="Calibri" w:hAnsi="Calibri"/>
              </w:rPr>
            </w:pPr>
          </w:p>
        </w:tc>
      </w:tr>
      <w:tr w:rsidR="00722C9B" w:rsidRPr="009D536E" w14:paraId="2CCA7A5C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16602B36" w14:textId="6EC4E587" w:rsidR="00722C9B" w:rsidRDefault="00722C9B" w:rsidP="0022626E">
            <w:pPr>
              <w:spacing w:before="30" w:after="30"/>
            </w:pPr>
            <w:r>
              <w:t>Payments</w:t>
            </w:r>
          </w:p>
        </w:tc>
        <w:tc>
          <w:tcPr>
            <w:tcW w:w="8534" w:type="dxa"/>
            <w:vAlign w:val="center"/>
          </w:tcPr>
          <w:p w14:paraId="02666201" w14:textId="77777777" w:rsidR="00722C9B" w:rsidRPr="00722C9B" w:rsidRDefault="00722C9B" w:rsidP="0022626E">
            <w:pPr>
              <w:pStyle w:val="ListParagraph"/>
              <w:numPr>
                <w:ilvl w:val="0"/>
                <w:numId w:val="9"/>
              </w:numPr>
              <w:spacing w:before="30" w:after="30" w:line="240" w:lineRule="auto"/>
              <w:rPr>
                <w:rFonts w:ascii="Calibri" w:hAnsi="Calibri"/>
              </w:rPr>
            </w:pPr>
          </w:p>
        </w:tc>
      </w:tr>
      <w:tr w:rsidR="00722C9B" w:rsidRPr="009D536E" w14:paraId="6EBA9275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7923D54B" w14:textId="33BEBB6F" w:rsidR="00722C9B" w:rsidRPr="00722C9B" w:rsidRDefault="00722C9B" w:rsidP="00722C9B">
            <w:pPr>
              <w:spacing w:before="60" w:after="60"/>
              <w:rPr>
                <w:b/>
              </w:rPr>
            </w:pPr>
            <w:r w:rsidRPr="005F5BF2">
              <w:rPr>
                <w:b/>
                <w:sz w:val="22"/>
              </w:rPr>
              <w:t>PART 3: OBJECTIVE AND OUTCOMES</w:t>
            </w:r>
          </w:p>
        </w:tc>
      </w:tr>
      <w:tr w:rsidR="00F02B51" w:rsidRPr="009D536E" w14:paraId="519B5247" w14:textId="77777777" w:rsidTr="00732F49">
        <w:trPr>
          <w:cantSplit/>
        </w:trPr>
        <w:tc>
          <w:tcPr>
            <w:tcW w:w="6096" w:type="dxa"/>
            <w:vAlign w:val="center"/>
          </w:tcPr>
          <w:p w14:paraId="64F18EDC" w14:textId="27611C62" w:rsidR="00F02B51" w:rsidRPr="00732F49" w:rsidRDefault="00732F49" w:rsidP="00732F49">
            <w:pPr>
              <w:spacing w:before="30" w:after="30"/>
            </w:pPr>
            <w:r w:rsidRPr="00732F49">
              <w:t>Objective and outcomes</w:t>
            </w:r>
          </w:p>
        </w:tc>
        <w:tc>
          <w:tcPr>
            <w:tcW w:w="8534" w:type="dxa"/>
            <w:vAlign w:val="center"/>
          </w:tcPr>
          <w:p w14:paraId="220269A3" w14:textId="77777777" w:rsidR="00F02B51" w:rsidRPr="008443FF" w:rsidRDefault="00F02B51" w:rsidP="0022626E">
            <w:pPr>
              <w:pStyle w:val="ListParagraph"/>
              <w:numPr>
                <w:ilvl w:val="0"/>
                <w:numId w:val="7"/>
              </w:numPr>
              <w:spacing w:before="30" w:after="30"/>
            </w:pPr>
          </w:p>
        </w:tc>
      </w:tr>
      <w:tr w:rsidR="00722C9B" w:rsidRPr="009D536E" w14:paraId="4795813A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16294054" w14:textId="711EA53B" w:rsidR="00722C9B" w:rsidRPr="00722C9B" w:rsidRDefault="00722C9B" w:rsidP="00722C9B">
            <w:pPr>
              <w:keepNext/>
              <w:keepLines/>
              <w:spacing w:before="60" w:after="60"/>
              <w:rPr>
                <w:b/>
              </w:rPr>
            </w:pPr>
            <w:r w:rsidRPr="005F5BF2">
              <w:rPr>
                <w:b/>
                <w:sz w:val="22"/>
              </w:rPr>
              <w:lastRenderedPageBreak/>
              <w:t>PART 4: ROLES AND RESPONSIBILITIES</w:t>
            </w:r>
          </w:p>
        </w:tc>
      </w:tr>
      <w:tr w:rsidR="00722C9B" w:rsidRPr="009D536E" w14:paraId="56FB6DD7" w14:textId="77777777" w:rsidTr="00732F49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5463CA46" w14:textId="0A70C113" w:rsidR="00722C9B" w:rsidRDefault="0022626E" w:rsidP="0022626E">
            <w:pPr>
              <w:keepNext/>
              <w:spacing w:before="30" w:after="30"/>
            </w:pPr>
            <w:r>
              <w:t>Role of the Australian Government</w:t>
            </w:r>
          </w:p>
          <w:p w14:paraId="70CE9E9C" w14:textId="77777777" w:rsid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Policy and strategic guidance</w:t>
            </w:r>
          </w:p>
          <w:p w14:paraId="5D10BAD0" w14:textId="760D53DF" w:rsid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Provision of </w:t>
            </w:r>
            <w:r w:rsidR="004E1EF7">
              <w:rPr>
                <w:rFonts w:ascii="Calibri" w:hAnsi="Calibri"/>
              </w:rPr>
              <w:t>funding</w:t>
            </w:r>
          </w:p>
          <w:p w14:paraId="338B84C1" w14:textId="77777777" w:rsid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Sector planning and development</w:t>
            </w:r>
          </w:p>
          <w:p w14:paraId="2D189F7C" w14:textId="22ABAB07" w:rsidR="0022626E" w:rsidRP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Performance monitoring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079BB82C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7BF51CF0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056422CB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6D97861B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1770A1CA" w14:textId="58115C8E" w:rsidR="00722C9B" w:rsidRPr="00722C9B" w:rsidRDefault="00722C9B" w:rsidP="00732F49">
            <w:pPr>
              <w:pStyle w:val="ListParagraph"/>
              <w:numPr>
                <w:ilvl w:val="0"/>
                <w:numId w:val="9"/>
              </w:numPr>
              <w:spacing w:before="30" w:after="30" w:line="240" w:lineRule="auto"/>
              <w:rPr>
                <w:rFonts w:ascii="Calibri" w:hAnsi="Calibri"/>
                <w:b/>
              </w:rPr>
            </w:pPr>
          </w:p>
        </w:tc>
      </w:tr>
      <w:tr w:rsidR="00722C9B" w:rsidRPr="009D536E" w14:paraId="6204B91A" w14:textId="77777777" w:rsidTr="00732F49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0F5D36F5" w14:textId="0FA7E52D" w:rsidR="00722C9B" w:rsidRDefault="0022626E" w:rsidP="0022626E">
            <w:pPr>
              <w:keepNext/>
              <w:spacing w:before="30" w:after="30"/>
            </w:pPr>
            <w:r>
              <w:t>Role of states and territories</w:t>
            </w:r>
          </w:p>
          <w:p w14:paraId="28E04526" w14:textId="77777777" w:rsid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Policy and strategic guidance</w:t>
            </w:r>
          </w:p>
          <w:p w14:paraId="561B482A" w14:textId="77777777" w:rsid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Allocation of funding</w:t>
            </w:r>
          </w:p>
          <w:p w14:paraId="445518DE" w14:textId="77777777" w:rsid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Sector planning and development</w:t>
            </w:r>
          </w:p>
          <w:p w14:paraId="023595B7" w14:textId="370FB1BC" w:rsidR="0022626E" w:rsidRP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Performance monitoring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1AA3CA83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189CBD70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501C2DDB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6417FEED" w14:textId="77777777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5CBD3770" w14:textId="77777777" w:rsidR="00722C9B" w:rsidRPr="00722C9B" w:rsidRDefault="00722C9B" w:rsidP="00732F49">
            <w:pPr>
              <w:pStyle w:val="ListParagraph"/>
              <w:numPr>
                <w:ilvl w:val="0"/>
                <w:numId w:val="9"/>
              </w:numPr>
              <w:spacing w:before="30" w:after="30" w:line="240" w:lineRule="auto"/>
              <w:rPr>
                <w:rFonts w:ascii="Calibri" w:hAnsi="Calibri"/>
                <w:b/>
              </w:rPr>
            </w:pPr>
          </w:p>
        </w:tc>
      </w:tr>
      <w:tr w:rsidR="0022626E" w:rsidRPr="009D536E" w14:paraId="67A777E7" w14:textId="77777777" w:rsidTr="00732F49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1A015338" w14:textId="46FAF204" w:rsidR="0022626E" w:rsidRDefault="0022626E" w:rsidP="0022626E">
            <w:pPr>
              <w:keepNext/>
              <w:spacing w:before="30" w:after="30"/>
            </w:pPr>
            <w:r>
              <w:t>Shared roles and responsibilities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3FE24CC2" w14:textId="77777777" w:rsidR="0022626E" w:rsidRPr="00722C9B" w:rsidRDefault="0022626E" w:rsidP="0022626E">
            <w:pPr>
              <w:pStyle w:val="ListParagraph"/>
              <w:numPr>
                <w:ilvl w:val="0"/>
                <w:numId w:val="9"/>
              </w:numPr>
              <w:spacing w:before="30" w:after="30" w:line="240" w:lineRule="auto"/>
              <w:rPr>
                <w:rFonts w:ascii="Calibri" w:hAnsi="Calibri"/>
                <w:b/>
              </w:rPr>
            </w:pPr>
          </w:p>
        </w:tc>
      </w:tr>
      <w:tr w:rsidR="00722C9B" w:rsidRPr="009D536E" w14:paraId="5DAED818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3D9D7C1A" w14:textId="36C1BE81" w:rsidR="00722C9B" w:rsidRPr="00722C9B" w:rsidRDefault="00722C9B" w:rsidP="00722C9B">
            <w:pPr>
              <w:spacing w:before="60" w:after="60"/>
            </w:pPr>
            <w:r w:rsidRPr="005F5BF2">
              <w:rPr>
                <w:b/>
                <w:sz w:val="22"/>
              </w:rPr>
              <w:t>PART 5: COLLABORATIVE SERVICE PLANNING</w:t>
            </w:r>
          </w:p>
        </w:tc>
      </w:tr>
      <w:tr w:rsidR="00732F49" w:rsidRPr="008443FF" w14:paraId="6CE9A3F8" w14:textId="77777777" w:rsidTr="003C08FD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6124B5C9" w14:textId="77777777" w:rsidR="00732F49" w:rsidRPr="0022626E" w:rsidRDefault="00732F49" w:rsidP="0022626E">
            <w:pPr>
              <w:spacing w:before="60" w:after="60"/>
            </w:pPr>
            <w:r w:rsidRPr="0022626E">
              <w:rPr>
                <w:b/>
              </w:rPr>
              <w:t>Scope of collaborative service planning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69FEBEC6" w14:textId="6A8A928A" w:rsidR="00732F49" w:rsidRPr="00732F49" w:rsidRDefault="00732F49" w:rsidP="00732F49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22626E" w:rsidRPr="008443FF" w14:paraId="4525F0B6" w14:textId="77777777" w:rsidTr="00732F49">
        <w:trPr>
          <w:cantSplit/>
        </w:trPr>
        <w:tc>
          <w:tcPr>
            <w:tcW w:w="6096" w:type="dxa"/>
            <w:vAlign w:val="center"/>
          </w:tcPr>
          <w:p w14:paraId="3D60FE1C" w14:textId="0294535A" w:rsidR="0022626E" w:rsidRPr="0022626E" w:rsidRDefault="0022626E" w:rsidP="0022626E">
            <w:pPr>
              <w:spacing w:before="30" w:after="30"/>
            </w:pPr>
            <w:r w:rsidRPr="0022626E">
              <w:t>Purpose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4D0147A2" w14:textId="77777777" w:rsidR="0022626E" w:rsidRPr="008443FF" w:rsidRDefault="0022626E" w:rsidP="00732F49">
            <w:pPr>
              <w:pStyle w:val="ListParagraph"/>
              <w:numPr>
                <w:ilvl w:val="0"/>
                <w:numId w:val="9"/>
              </w:numPr>
              <w:spacing w:before="30" w:after="30"/>
            </w:pPr>
          </w:p>
        </w:tc>
      </w:tr>
      <w:tr w:rsidR="0022626E" w:rsidRPr="008443FF" w14:paraId="37A2EE20" w14:textId="77777777" w:rsidTr="00732F49">
        <w:trPr>
          <w:cantSplit/>
        </w:trPr>
        <w:tc>
          <w:tcPr>
            <w:tcW w:w="6096" w:type="dxa"/>
            <w:vAlign w:val="center"/>
          </w:tcPr>
          <w:p w14:paraId="0F4E49E9" w14:textId="554FBB11" w:rsidR="0022626E" w:rsidRDefault="0022626E" w:rsidP="0022626E">
            <w:pPr>
              <w:spacing w:before="30" w:after="30"/>
            </w:pPr>
            <w:r>
              <w:t>Activities</w:t>
            </w:r>
          </w:p>
          <w:p w14:paraId="5679DBC6" w14:textId="77777777" w:rsid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Mapping</w:t>
            </w:r>
          </w:p>
          <w:p w14:paraId="06240F7B" w14:textId="791BB62A" w:rsidR="0022626E" w:rsidRP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Building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79450B6D" w14:textId="064B87C2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68D43DDF" w14:textId="0C332138" w:rsidR="00732F49" w:rsidRDefault="00732F49" w:rsidP="00732F4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</w:p>
          <w:p w14:paraId="30729AA1" w14:textId="7B050F91" w:rsidR="0022626E" w:rsidRPr="008443FF" w:rsidRDefault="0022626E" w:rsidP="00732F49">
            <w:pPr>
              <w:pStyle w:val="ListParagraph"/>
              <w:numPr>
                <w:ilvl w:val="0"/>
                <w:numId w:val="9"/>
              </w:numPr>
              <w:spacing w:before="30" w:after="30"/>
            </w:pPr>
          </w:p>
        </w:tc>
      </w:tr>
      <w:tr w:rsidR="00732F49" w:rsidRPr="008443FF" w14:paraId="1A24D521" w14:textId="77777777" w:rsidTr="003C08FD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4312E9EB" w14:textId="77777777" w:rsidR="00732F49" w:rsidRPr="0022626E" w:rsidRDefault="00732F49" w:rsidP="0022626E">
            <w:pPr>
              <w:spacing w:before="60" w:after="60"/>
            </w:pPr>
            <w:r w:rsidRPr="0022626E">
              <w:rPr>
                <w:b/>
              </w:rPr>
              <w:t>Tiered collaborative service planning structure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40D3D87C" w14:textId="55B95C33" w:rsidR="00732F49" w:rsidRPr="00732F49" w:rsidRDefault="00732F49" w:rsidP="00732F49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22626E" w:rsidRPr="008443FF" w14:paraId="547F2987" w14:textId="77777777" w:rsidTr="00732F49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0FBB5DF2" w14:textId="2D69148F" w:rsidR="0022626E" w:rsidRPr="0022626E" w:rsidRDefault="0022626E" w:rsidP="0022626E">
            <w:pPr>
              <w:spacing w:before="30" w:after="30"/>
            </w:pPr>
            <w:r>
              <w:t>National collaborative service planning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220FD586" w14:textId="77777777" w:rsidR="0022626E" w:rsidRPr="0022626E" w:rsidRDefault="0022626E" w:rsidP="00732F49">
            <w:pPr>
              <w:pStyle w:val="ListParagraph"/>
              <w:numPr>
                <w:ilvl w:val="0"/>
                <w:numId w:val="9"/>
              </w:numPr>
              <w:spacing w:before="30" w:after="30" w:line="240" w:lineRule="auto"/>
              <w:rPr>
                <w:rFonts w:ascii="Calibri" w:hAnsi="Calibri"/>
                <w:b/>
              </w:rPr>
            </w:pPr>
          </w:p>
        </w:tc>
      </w:tr>
      <w:tr w:rsidR="0022626E" w:rsidRPr="008443FF" w14:paraId="66DE4DEC" w14:textId="77777777" w:rsidTr="00732F49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5FD83533" w14:textId="7960464D" w:rsidR="0022626E" w:rsidRDefault="0022626E" w:rsidP="0022626E">
            <w:pPr>
              <w:spacing w:before="30" w:after="30"/>
            </w:pPr>
            <w:r>
              <w:t>Jurisdictional collaborative service planning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047DBD92" w14:textId="77777777" w:rsidR="0022626E" w:rsidRPr="0022626E" w:rsidRDefault="0022626E" w:rsidP="00732F49">
            <w:pPr>
              <w:pStyle w:val="ListParagraph"/>
              <w:numPr>
                <w:ilvl w:val="0"/>
                <w:numId w:val="9"/>
              </w:numPr>
              <w:spacing w:before="30" w:after="30" w:line="240" w:lineRule="auto"/>
              <w:rPr>
                <w:rFonts w:ascii="Calibri" w:hAnsi="Calibri"/>
                <w:b/>
              </w:rPr>
            </w:pPr>
          </w:p>
        </w:tc>
      </w:tr>
      <w:tr w:rsidR="0022626E" w:rsidRPr="008443FF" w14:paraId="3B9E8F85" w14:textId="77777777" w:rsidTr="00732F49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3982EA59" w14:textId="3B2CB527" w:rsidR="0022626E" w:rsidRDefault="0022626E" w:rsidP="0022626E">
            <w:pPr>
              <w:spacing w:before="30" w:after="30"/>
            </w:pPr>
            <w:r>
              <w:t>Local collaborative service planning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6E653491" w14:textId="77777777" w:rsidR="0022626E" w:rsidRPr="0022626E" w:rsidRDefault="0022626E" w:rsidP="00732F49">
            <w:pPr>
              <w:pStyle w:val="ListParagraph"/>
              <w:numPr>
                <w:ilvl w:val="0"/>
                <w:numId w:val="9"/>
              </w:numPr>
              <w:spacing w:before="30" w:after="30" w:line="240" w:lineRule="auto"/>
              <w:rPr>
                <w:rFonts w:ascii="Calibri" w:hAnsi="Calibri"/>
                <w:b/>
              </w:rPr>
            </w:pPr>
          </w:p>
        </w:tc>
      </w:tr>
      <w:tr w:rsidR="0022626E" w:rsidRPr="008443FF" w14:paraId="0239451A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2BAF616C" w14:textId="69296546" w:rsidR="0022626E" w:rsidRPr="00722C9B" w:rsidRDefault="0022626E" w:rsidP="0022626E">
            <w:pPr>
              <w:spacing w:before="60" w:after="60"/>
              <w:rPr>
                <w:b/>
              </w:rPr>
            </w:pPr>
            <w:r w:rsidRPr="005F5BF2">
              <w:rPr>
                <w:b/>
                <w:sz w:val="22"/>
              </w:rPr>
              <w:t>PART 6: PERFORMANCE MONITORING AND REPORTING REQUIREMENTS</w:t>
            </w:r>
          </w:p>
        </w:tc>
      </w:tr>
      <w:tr w:rsidR="0022626E" w:rsidRPr="008443FF" w14:paraId="08098EAE" w14:textId="77777777" w:rsidTr="00732F49">
        <w:trPr>
          <w:cantSplit/>
        </w:trPr>
        <w:tc>
          <w:tcPr>
            <w:tcW w:w="6096" w:type="dxa"/>
            <w:vAlign w:val="center"/>
          </w:tcPr>
          <w:p w14:paraId="0516ABF1" w14:textId="71B35AD0" w:rsidR="0022626E" w:rsidRPr="0022626E" w:rsidRDefault="0022626E" w:rsidP="0022626E">
            <w:pPr>
              <w:spacing w:before="30" w:after="30"/>
            </w:pPr>
            <w:r>
              <w:t>National performance indicators</w:t>
            </w:r>
          </w:p>
        </w:tc>
        <w:tc>
          <w:tcPr>
            <w:tcW w:w="8534" w:type="dxa"/>
            <w:vAlign w:val="center"/>
          </w:tcPr>
          <w:p w14:paraId="51CEDD38" w14:textId="77777777" w:rsidR="0022626E" w:rsidRPr="008443FF" w:rsidRDefault="0022626E" w:rsidP="0022626E">
            <w:pPr>
              <w:pStyle w:val="ListParagraph"/>
              <w:numPr>
                <w:ilvl w:val="0"/>
                <w:numId w:val="7"/>
              </w:numPr>
              <w:spacing w:before="30" w:after="30"/>
            </w:pPr>
          </w:p>
        </w:tc>
      </w:tr>
      <w:tr w:rsidR="0022626E" w:rsidRPr="008443FF" w14:paraId="7969CB7C" w14:textId="77777777" w:rsidTr="00732F49">
        <w:trPr>
          <w:cantSplit/>
        </w:trPr>
        <w:tc>
          <w:tcPr>
            <w:tcW w:w="6096" w:type="dxa"/>
            <w:vAlign w:val="center"/>
          </w:tcPr>
          <w:p w14:paraId="0691EFF9" w14:textId="4C31C092" w:rsidR="0022626E" w:rsidRDefault="0022626E" w:rsidP="0022626E">
            <w:pPr>
              <w:spacing w:before="30" w:after="30"/>
            </w:pPr>
            <w:r>
              <w:t>State and Territory outputs</w:t>
            </w:r>
          </w:p>
          <w:p w14:paraId="6DDCD705" w14:textId="77777777" w:rsid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Legal Assistance Strategy</w:t>
            </w:r>
          </w:p>
          <w:p w14:paraId="01B695D8" w14:textId="57B3A6E7" w:rsidR="0022626E" w:rsidRP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Legal Assistance Action Plan </w:t>
            </w:r>
          </w:p>
        </w:tc>
        <w:tc>
          <w:tcPr>
            <w:tcW w:w="8534" w:type="dxa"/>
            <w:vAlign w:val="center"/>
          </w:tcPr>
          <w:p w14:paraId="4E8A4860" w14:textId="77777777" w:rsidR="00732F49" w:rsidRDefault="00732F49" w:rsidP="00732F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</w:p>
          <w:p w14:paraId="2A07689D" w14:textId="77777777" w:rsidR="00732F49" w:rsidRDefault="00732F49" w:rsidP="00732F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</w:p>
          <w:p w14:paraId="549F2C0D" w14:textId="77777777" w:rsidR="0022626E" w:rsidRPr="008443FF" w:rsidRDefault="0022626E" w:rsidP="00732F49">
            <w:pPr>
              <w:pStyle w:val="ListParagraph"/>
              <w:numPr>
                <w:ilvl w:val="0"/>
                <w:numId w:val="13"/>
              </w:numPr>
              <w:spacing w:before="30" w:after="30"/>
            </w:pPr>
          </w:p>
        </w:tc>
      </w:tr>
      <w:tr w:rsidR="0022626E" w:rsidRPr="008443FF" w14:paraId="27F535C9" w14:textId="77777777" w:rsidTr="00732F49">
        <w:trPr>
          <w:cantSplit/>
        </w:trPr>
        <w:tc>
          <w:tcPr>
            <w:tcW w:w="6096" w:type="dxa"/>
            <w:vAlign w:val="center"/>
          </w:tcPr>
          <w:p w14:paraId="051D15E6" w14:textId="558793E6" w:rsidR="0022626E" w:rsidRDefault="0022626E" w:rsidP="0022626E">
            <w:pPr>
              <w:spacing w:before="30" w:after="30"/>
            </w:pPr>
            <w:r>
              <w:lastRenderedPageBreak/>
              <w:t>Reporting requirements</w:t>
            </w:r>
          </w:p>
          <w:p w14:paraId="5F23FBEE" w14:textId="77777777" w:rsid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 w:rsidRPr="0022626E">
              <w:rPr>
                <w:rFonts w:ascii="Calibri" w:hAnsi="Calibri"/>
              </w:rPr>
              <w:t>Statement of Services and Funding</w:t>
            </w:r>
          </w:p>
          <w:p w14:paraId="6CCED328" w14:textId="77777777" w:rsid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Jurisdictional Performance Report</w:t>
            </w:r>
          </w:p>
          <w:p w14:paraId="3D6E0B06" w14:textId="4D41CDD3" w:rsidR="0022626E" w:rsidRP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Legal Assistance: National Services Summary</w:t>
            </w:r>
          </w:p>
        </w:tc>
        <w:tc>
          <w:tcPr>
            <w:tcW w:w="8534" w:type="dxa"/>
            <w:vAlign w:val="center"/>
          </w:tcPr>
          <w:p w14:paraId="76C97419" w14:textId="77777777" w:rsidR="00732F49" w:rsidRDefault="00732F49" w:rsidP="00732F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</w:rPr>
            </w:pPr>
          </w:p>
          <w:p w14:paraId="2977E72F" w14:textId="77777777" w:rsidR="00732F49" w:rsidRDefault="00732F49" w:rsidP="00732F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</w:rPr>
            </w:pPr>
          </w:p>
          <w:p w14:paraId="77ECB28A" w14:textId="77777777" w:rsidR="00732F49" w:rsidRDefault="00732F49" w:rsidP="00732F4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</w:rPr>
            </w:pPr>
          </w:p>
          <w:p w14:paraId="41A9BE45" w14:textId="77777777" w:rsidR="0022626E" w:rsidRPr="008443FF" w:rsidRDefault="0022626E" w:rsidP="00732F49">
            <w:pPr>
              <w:pStyle w:val="ListParagraph"/>
              <w:numPr>
                <w:ilvl w:val="0"/>
                <w:numId w:val="14"/>
              </w:numPr>
              <w:spacing w:before="30" w:after="30"/>
            </w:pPr>
          </w:p>
        </w:tc>
      </w:tr>
      <w:tr w:rsidR="0022626E" w:rsidRPr="008443FF" w14:paraId="70C8FFA3" w14:textId="77777777" w:rsidTr="00732F49">
        <w:trPr>
          <w:cantSplit/>
        </w:trPr>
        <w:tc>
          <w:tcPr>
            <w:tcW w:w="6096" w:type="dxa"/>
            <w:vAlign w:val="center"/>
          </w:tcPr>
          <w:p w14:paraId="170557A4" w14:textId="6A04167C" w:rsidR="0022626E" w:rsidRDefault="0022626E" w:rsidP="0022626E">
            <w:pPr>
              <w:spacing w:before="30" w:after="30"/>
            </w:pPr>
            <w:r>
              <w:t xml:space="preserve">Transition to an </w:t>
            </w:r>
            <w:proofErr w:type="gramStart"/>
            <w:r>
              <w:t>outcomes based</w:t>
            </w:r>
            <w:proofErr w:type="gramEnd"/>
            <w:r>
              <w:t xml:space="preserve"> framework</w:t>
            </w:r>
          </w:p>
        </w:tc>
        <w:tc>
          <w:tcPr>
            <w:tcW w:w="8534" w:type="dxa"/>
            <w:vAlign w:val="center"/>
          </w:tcPr>
          <w:p w14:paraId="42FFF78F" w14:textId="77777777" w:rsidR="0022626E" w:rsidRPr="008443FF" w:rsidRDefault="0022626E" w:rsidP="0022626E">
            <w:pPr>
              <w:pStyle w:val="ListParagraph"/>
              <w:numPr>
                <w:ilvl w:val="0"/>
                <w:numId w:val="7"/>
              </w:numPr>
              <w:spacing w:before="30" w:after="30"/>
            </w:pPr>
          </w:p>
        </w:tc>
      </w:tr>
      <w:tr w:rsidR="0022626E" w:rsidRPr="008443FF" w14:paraId="5CD9C279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1ED4980C" w14:textId="7C8BA52F" w:rsidR="0022626E" w:rsidRPr="00722C9B" w:rsidRDefault="0022626E" w:rsidP="0022626E">
            <w:pPr>
              <w:spacing w:before="60" w:after="60"/>
              <w:rPr>
                <w:b/>
              </w:rPr>
            </w:pPr>
            <w:r w:rsidRPr="005F5BF2">
              <w:rPr>
                <w:b/>
                <w:sz w:val="22"/>
              </w:rPr>
              <w:t>PART 7: GOVERNANCE ARRANGEMENTS</w:t>
            </w:r>
          </w:p>
        </w:tc>
      </w:tr>
      <w:tr w:rsidR="00732F49" w:rsidRPr="008443FF" w14:paraId="1637D06C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6119AE14" w14:textId="1C71075D" w:rsidR="00732F49" w:rsidRPr="0022626E" w:rsidRDefault="00732F49" w:rsidP="0022626E">
            <w:pPr>
              <w:spacing w:before="60" w:after="60"/>
            </w:pPr>
            <w:r w:rsidRPr="0022626E">
              <w:rPr>
                <w:b/>
              </w:rPr>
              <w:t>Legal Assistance Services Inter-Governmental Committee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42BE3659" w14:textId="2D44A3C2" w:rsidR="00732F49" w:rsidRPr="00732F49" w:rsidRDefault="00732F49" w:rsidP="00732F49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732F49" w:rsidRPr="008443FF" w14:paraId="6287094E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08480098" w14:textId="37342F29" w:rsidR="00732F49" w:rsidRPr="0022626E" w:rsidRDefault="00732F49" w:rsidP="0022626E">
            <w:pPr>
              <w:spacing w:before="60" w:after="60"/>
              <w:rPr>
                <w:b/>
              </w:rPr>
            </w:pPr>
            <w:r w:rsidRPr="0022626E">
              <w:rPr>
                <w:b/>
              </w:rPr>
              <w:t>Advisory Group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49E49DD0" w14:textId="49FCF4CC" w:rsidR="00732F49" w:rsidRPr="00732F49" w:rsidRDefault="00732F49" w:rsidP="00732F49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hAnsi="Calibri"/>
                <w:b/>
              </w:rPr>
            </w:pPr>
          </w:p>
        </w:tc>
      </w:tr>
      <w:tr w:rsidR="00732F49" w:rsidRPr="008443FF" w14:paraId="5EA5C62E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23A9F3DC" w14:textId="3D4B166E" w:rsidR="00732F49" w:rsidRPr="0022626E" w:rsidRDefault="00732F49" w:rsidP="0022626E">
            <w:pPr>
              <w:spacing w:before="60" w:after="60"/>
              <w:rPr>
                <w:b/>
              </w:rPr>
            </w:pPr>
            <w:r w:rsidRPr="0022626E">
              <w:rPr>
                <w:b/>
              </w:rPr>
              <w:t>Review of the NLAP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717CDFE2" w14:textId="656D0D73" w:rsidR="00732F49" w:rsidRPr="00732F49" w:rsidRDefault="00732F49" w:rsidP="00732F49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hAnsi="Calibri"/>
                <w:b/>
              </w:rPr>
            </w:pPr>
          </w:p>
        </w:tc>
      </w:tr>
      <w:tr w:rsidR="0022626E" w:rsidRPr="008443FF" w14:paraId="404F8EA5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736D39CE" w14:textId="5140EE5F" w:rsidR="0022626E" w:rsidRPr="00722C9B" w:rsidRDefault="0022626E" w:rsidP="0022626E">
            <w:pPr>
              <w:spacing w:before="60" w:after="60"/>
              <w:rPr>
                <w:b/>
              </w:rPr>
            </w:pPr>
            <w:r w:rsidRPr="005F5BF2">
              <w:rPr>
                <w:b/>
                <w:sz w:val="22"/>
              </w:rPr>
              <w:t>PART 8: COMMONWEALTH PRIORITIES</w:t>
            </w:r>
          </w:p>
        </w:tc>
      </w:tr>
      <w:tr w:rsidR="00732F49" w:rsidRPr="008443FF" w14:paraId="229864D3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1164E32" w14:textId="77777777" w:rsidR="00732F49" w:rsidRPr="0022626E" w:rsidRDefault="00732F49" w:rsidP="0022626E">
            <w:pPr>
              <w:spacing w:before="60" w:after="60"/>
            </w:pPr>
            <w:r w:rsidRPr="0022626E">
              <w:rPr>
                <w:b/>
              </w:rPr>
              <w:t>National priority client groups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7A33718F" w14:textId="55397569" w:rsidR="00732F49" w:rsidRPr="00732F49" w:rsidRDefault="00732F49" w:rsidP="00732F49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732F49" w:rsidRPr="008443FF" w14:paraId="0FFBED6D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EA94C41" w14:textId="185A14BD" w:rsidR="00732F49" w:rsidRPr="0022626E" w:rsidRDefault="00732F49" w:rsidP="0022626E">
            <w:pPr>
              <w:spacing w:before="60" w:after="60"/>
              <w:rPr>
                <w:b/>
              </w:rPr>
            </w:pPr>
            <w:r w:rsidRPr="0022626E">
              <w:rPr>
                <w:b/>
              </w:rPr>
              <w:t>Commonwealth service priorities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3C9A8C0F" w14:textId="021AF157" w:rsidR="00732F49" w:rsidRPr="00732F49" w:rsidRDefault="00732F49" w:rsidP="00732F49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hAnsi="Calibri"/>
                <w:b/>
              </w:rPr>
            </w:pPr>
          </w:p>
        </w:tc>
      </w:tr>
      <w:tr w:rsidR="0022626E" w:rsidRPr="008443FF" w14:paraId="5853C0DC" w14:textId="77777777" w:rsidTr="003C08FD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0BF72D2" w14:textId="201A9C54" w:rsidR="0022626E" w:rsidRPr="0022626E" w:rsidRDefault="0022626E" w:rsidP="0022626E">
            <w:pPr>
              <w:spacing w:before="30" w:after="30"/>
            </w:pPr>
            <w:r>
              <w:t>Commonwealth law priorities</w:t>
            </w:r>
          </w:p>
        </w:tc>
        <w:tc>
          <w:tcPr>
            <w:tcW w:w="8534" w:type="dxa"/>
            <w:vAlign w:val="center"/>
          </w:tcPr>
          <w:p w14:paraId="5BA4B229" w14:textId="77777777" w:rsidR="0022626E" w:rsidRPr="00732F49" w:rsidRDefault="0022626E" w:rsidP="00732F49">
            <w:pPr>
              <w:pStyle w:val="ListParagraph"/>
              <w:numPr>
                <w:ilvl w:val="0"/>
                <w:numId w:val="17"/>
              </w:numPr>
              <w:spacing w:before="30" w:after="10" w:line="240" w:lineRule="auto"/>
              <w:rPr>
                <w:rFonts w:ascii="Calibri" w:hAnsi="Calibri"/>
              </w:rPr>
            </w:pPr>
          </w:p>
        </w:tc>
      </w:tr>
      <w:tr w:rsidR="0022626E" w:rsidRPr="008443FF" w14:paraId="0EDFD437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51539900" w14:textId="78A2A3C5" w:rsidR="0022626E" w:rsidRDefault="0022626E" w:rsidP="0022626E">
            <w:pPr>
              <w:spacing w:before="30" w:after="30"/>
            </w:pPr>
            <w:r>
              <w:t xml:space="preserve">Lobbying </w:t>
            </w:r>
            <w:r w:rsidR="004E1EF7">
              <w:t xml:space="preserve">and campaigning </w:t>
            </w:r>
            <w:r>
              <w:t>activities</w:t>
            </w:r>
          </w:p>
        </w:tc>
        <w:tc>
          <w:tcPr>
            <w:tcW w:w="8534" w:type="dxa"/>
            <w:vAlign w:val="center"/>
          </w:tcPr>
          <w:p w14:paraId="0F216301" w14:textId="77777777" w:rsidR="0022626E" w:rsidRPr="0022626E" w:rsidRDefault="0022626E" w:rsidP="0022626E">
            <w:pPr>
              <w:pStyle w:val="ListParagraph"/>
              <w:numPr>
                <w:ilvl w:val="0"/>
                <w:numId w:val="15"/>
              </w:numPr>
              <w:spacing w:before="30" w:after="10" w:line="240" w:lineRule="auto"/>
              <w:rPr>
                <w:rFonts w:ascii="Calibri" w:hAnsi="Calibri"/>
              </w:rPr>
            </w:pPr>
          </w:p>
        </w:tc>
      </w:tr>
      <w:tr w:rsidR="0022626E" w:rsidRPr="008443FF" w14:paraId="46082324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22E854C1" w14:textId="3AC84DAC" w:rsidR="0022626E" w:rsidRPr="00722C9B" w:rsidRDefault="0022626E" w:rsidP="0022626E">
            <w:pPr>
              <w:spacing w:before="60" w:after="60"/>
            </w:pPr>
            <w:r w:rsidRPr="005F5BF2">
              <w:rPr>
                <w:b/>
                <w:sz w:val="22"/>
              </w:rPr>
              <w:t>PART 9: NATIONAL STRATEGIC FRAMEWORK FOR LEGAL ASSISTANCE</w:t>
            </w:r>
          </w:p>
        </w:tc>
      </w:tr>
      <w:tr w:rsidR="00732F49" w:rsidRPr="008443FF" w14:paraId="3A0F915C" w14:textId="77777777" w:rsidTr="003C08FD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51776EC" w14:textId="77777777" w:rsidR="00732F49" w:rsidRPr="0022626E" w:rsidRDefault="00732F49" w:rsidP="0022626E">
            <w:pPr>
              <w:spacing w:before="60" w:after="60"/>
            </w:pPr>
            <w:r w:rsidRPr="0022626E">
              <w:rPr>
                <w:b/>
              </w:rPr>
              <w:t>Updated National Strategic Framework for Legal Assistance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24CF26C8" w14:textId="18D3169E" w:rsidR="00732F49" w:rsidRPr="00732F49" w:rsidRDefault="00732F49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22626E" w:rsidRPr="008443FF" w14:paraId="7B0362E7" w14:textId="77777777" w:rsidTr="003C08FD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1C89C6EC" w14:textId="03E3BB26" w:rsidR="0022626E" w:rsidRPr="0022626E" w:rsidRDefault="0022626E" w:rsidP="0022626E">
            <w:pPr>
              <w:spacing w:before="30" w:after="30"/>
            </w:pPr>
            <w:r>
              <w:t>Legal need in Australian</w:t>
            </w:r>
          </w:p>
        </w:tc>
        <w:tc>
          <w:tcPr>
            <w:tcW w:w="8534" w:type="dxa"/>
            <w:vAlign w:val="center"/>
          </w:tcPr>
          <w:p w14:paraId="6CA1172F" w14:textId="77777777" w:rsidR="0022626E" w:rsidRPr="00732F49" w:rsidRDefault="0022626E" w:rsidP="00732F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/>
              </w:rPr>
            </w:pPr>
          </w:p>
        </w:tc>
      </w:tr>
      <w:tr w:rsidR="0022626E" w:rsidRPr="008443FF" w14:paraId="02FA8A66" w14:textId="77777777" w:rsidTr="003C08FD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1A654336" w14:textId="609C2DBD" w:rsidR="0022626E" w:rsidRDefault="0022626E" w:rsidP="0022626E">
            <w:pPr>
              <w:spacing w:before="30" w:after="30"/>
            </w:pPr>
            <w:r>
              <w:t>Overview of the National Strategic Framework</w:t>
            </w:r>
          </w:p>
        </w:tc>
        <w:tc>
          <w:tcPr>
            <w:tcW w:w="8534" w:type="dxa"/>
            <w:vAlign w:val="center"/>
          </w:tcPr>
          <w:p w14:paraId="39D03127" w14:textId="77777777" w:rsidR="0022626E" w:rsidRPr="008443FF" w:rsidRDefault="0022626E" w:rsidP="0022626E">
            <w:pPr>
              <w:pStyle w:val="ListParagraph"/>
              <w:numPr>
                <w:ilvl w:val="0"/>
                <w:numId w:val="7"/>
              </w:numPr>
              <w:spacing w:after="0"/>
            </w:pPr>
          </w:p>
        </w:tc>
      </w:tr>
      <w:tr w:rsidR="0022626E" w:rsidRPr="008443FF" w14:paraId="1A5B552C" w14:textId="77777777" w:rsidTr="003C08FD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83B023A" w14:textId="77777777" w:rsidR="0022626E" w:rsidRDefault="0022626E" w:rsidP="0022626E">
            <w:pPr>
              <w:spacing w:before="30" w:after="30"/>
            </w:pPr>
            <w:r>
              <w:t>Objective of the National Strategic Framework</w:t>
            </w:r>
          </w:p>
          <w:p w14:paraId="5C2225B7" w14:textId="4DEBAC9D" w:rsidR="0022626E" w:rsidRPr="0022626E" w:rsidRDefault="0022626E" w:rsidP="00F22CF3">
            <w:pPr>
              <w:pStyle w:val="ListParagraph"/>
              <w:numPr>
                <w:ilvl w:val="0"/>
                <w:numId w:val="26"/>
              </w:numPr>
              <w:spacing w:before="30" w:after="3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Self-determination</w:t>
            </w:r>
          </w:p>
        </w:tc>
        <w:tc>
          <w:tcPr>
            <w:tcW w:w="8534" w:type="dxa"/>
            <w:vAlign w:val="center"/>
          </w:tcPr>
          <w:p w14:paraId="0A995719" w14:textId="61A69767" w:rsidR="0022626E" w:rsidRDefault="0022626E" w:rsidP="00732F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/>
              </w:rPr>
            </w:pPr>
          </w:p>
          <w:p w14:paraId="250DB812" w14:textId="4F0B3B56" w:rsidR="00732F49" w:rsidRPr="00732F49" w:rsidRDefault="00732F49" w:rsidP="00732F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22626E" w:rsidRPr="008443FF" w14:paraId="0990750B" w14:textId="77777777" w:rsidTr="003C08FD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27537DF2" w14:textId="05E6E44B" w:rsidR="0022626E" w:rsidRDefault="0022626E" w:rsidP="0022626E">
            <w:pPr>
              <w:spacing w:before="30" w:after="30"/>
            </w:pPr>
            <w:r>
              <w:t>Purpose of legal assistance services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49136EDA" w14:textId="77777777" w:rsidR="0022626E" w:rsidRPr="008443FF" w:rsidRDefault="0022626E" w:rsidP="0022626E">
            <w:pPr>
              <w:pStyle w:val="ListParagraph"/>
              <w:numPr>
                <w:ilvl w:val="0"/>
                <w:numId w:val="7"/>
              </w:numPr>
              <w:spacing w:after="0"/>
            </w:pPr>
          </w:p>
        </w:tc>
      </w:tr>
      <w:tr w:rsidR="00732F49" w:rsidRPr="008443FF" w14:paraId="1DD913D7" w14:textId="77777777" w:rsidTr="003C08FD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395C63B7" w14:textId="77777777" w:rsidR="00732F49" w:rsidRPr="00E960EE" w:rsidRDefault="00732F49" w:rsidP="00E960EE">
            <w:r>
              <w:rPr>
                <w:b/>
              </w:rPr>
              <w:t>Principles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32450B8E" w14:textId="30E4173E" w:rsidR="00732F49" w:rsidRPr="00732F49" w:rsidRDefault="00732F49" w:rsidP="00732F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/>
              </w:rPr>
            </w:pPr>
          </w:p>
        </w:tc>
      </w:tr>
      <w:tr w:rsidR="0022626E" w:rsidRPr="008443FF" w14:paraId="20174FC5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3C261287" w14:textId="68C609F7" w:rsidR="0022626E" w:rsidRPr="00E960EE" w:rsidRDefault="0022626E" w:rsidP="00E960EE">
            <w:pPr>
              <w:spacing w:before="30" w:after="30"/>
            </w:pPr>
            <w:r w:rsidRPr="00E960EE">
              <w:t>Principle one: Focus service delivery on people facing disadvantage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1BA18FD3" w14:textId="77777777" w:rsidR="0022626E" w:rsidRPr="008443FF" w:rsidRDefault="0022626E" w:rsidP="0022626E">
            <w:pPr>
              <w:pStyle w:val="ListParagraph"/>
              <w:numPr>
                <w:ilvl w:val="0"/>
                <w:numId w:val="7"/>
              </w:numPr>
              <w:spacing w:after="0"/>
            </w:pPr>
          </w:p>
        </w:tc>
      </w:tr>
      <w:tr w:rsidR="00E960EE" w:rsidRPr="008443FF" w14:paraId="1FA5739D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3A6C5892" w14:textId="5921A8A5" w:rsidR="00E960EE" w:rsidRDefault="00E960EE" w:rsidP="0022626E">
            <w:pPr>
              <w:spacing w:before="30" w:after="30"/>
            </w:pPr>
            <w:r w:rsidRPr="00E960EE">
              <w:t>Principle two: Client centred and appropriate services</w:t>
            </w:r>
          </w:p>
        </w:tc>
        <w:tc>
          <w:tcPr>
            <w:tcW w:w="8534" w:type="dxa"/>
            <w:vAlign w:val="center"/>
          </w:tcPr>
          <w:p w14:paraId="698EA038" w14:textId="77777777" w:rsidR="00E960EE" w:rsidRPr="008443FF" w:rsidRDefault="00E960EE" w:rsidP="0022626E">
            <w:pPr>
              <w:pStyle w:val="ListParagraph"/>
              <w:numPr>
                <w:ilvl w:val="0"/>
                <w:numId w:val="7"/>
              </w:numPr>
              <w:spacing w:after="0"/>
            </w:pPr>
          </w:p>
        </w:tc>
      </w:tr>
      <w:tr w:rsidR="00E960EE" w:rsidRPr="008443FF" w14:paraId="4EA09556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73F1C6E7" w14:textId="52201BE2" w:rsidR="00E960EE" w:rsidRDefault="00E960EE" w:rsidP="0022626E">
            <w:pPr>
              <w:spacing w:before="30" w:after="30"/>
            </w:pPr>
            <w:r w:rsidRPr="00E960EE">
              <w:t>Principle three: Collabo</w:t>
            </w:r>
            <w:r>
              <w:t>ration and integrated approaches</w:t>
            </w:r>
          </w:p>
        </w:tc>
        <w:tc>
          <w:tcPr>
            <w:tcW w:w="8534" w:type="dxa"/>
            <w:vAlign w:val="center"/>
          </w:tcPr>
          <w:p w14:paraId="1D688AC6" w14:textId="77777777" w:rsidR="00E960EE" w:rsidRPr="008443FF" w:rsidRDefault="00E960EE" w:rsidP="0022626E">
            <w:pPr>
              <w:pStyle w:val="ListParagraph"/>
              <w:numPr>
                <w:ilvl w:val="0"/>
                <w:numId w:val="7"/>
              </w:numPr>
              <w:spacing w:after="0"/>
            </w:pPr>
          </w:p>
        </w:tc>
      </w:tr>
      <w:tr w:rsidR="00E960EE" w:rsidRPr="008443FF" w14:paraId="57FB1BCE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6AE04ABE" w14:textId="698336FA" w:rsidR="00E960EE" w:rsidRDefault="00E960EE" w:rsidP="0022626E">
            <w:pPr>
              <w:spacing w:before="30" w:after="30"/>
            </w:pPr>
            <w:r w:rsidRPr="00E960EE">
              <w:lastRenderedPageBreak/>
              <w:t>Principle four: Appropriately timed responses and preventative action</w:t>
            </w:r>
          </w:p>
        </w:tc>
        <w:tc>
          <w:tcPr>
            <w:tcW w:w="8534" w:type="dxa"/>
            <w:vAlign w:val="center"/>
          </w:tcPr>
          <w:p w14:paraId="39A05C20" w14:textId="77777777" w:rsidR="00E960EE" w:rsidRPr="008443FF" w:rsidRDefault="00E960EE" w:rsidP="0022626E">
            <w:pPr>
              <w:pStyle w:val="ListParagraph"/>
              <w:numPr>
                <w:ilvl w:val="0"/>
                <w:numId w:val="7"/>
              </w:numPr>
              <w:spacing w:after="0"/>
            </w:pPr>
          </w:p>
        </w:tc>
      </w:tr>
      <w:tr w:rsidR="00E960EE" w:rsidRPr="008443FF" w14:paraId="316A2581" w14:textId="77777777" w:rsidTr="00732F49">
        <w:trPr>
          <w:cantSplit/>
          <w:trHeight w:val="373"/>
        </w:trPr>
        <w:tc>
          <w:tcPr>
            <w:tcW w:w="6096" w:type="dxa"/>
            <w:vAlign w:val="center"/>
          </w:tcPr>
          <w:p w14:paraId="0B3515D2" w14:textId="2CCC5641" w:rsidR="00E960EE" w:rsidRDefault="00E960EE" w:rsidP="0022626E">
            <w:pPr>
              <w:spacing w:before="30" w:after="30"/>
            </w:pPr>
            <w:r w:rsidRPr="00E960EE">
              <w:t>Principle five: Empowerment and resilience</w:t>
            </w:r>
          </w:p>
        </w:tc>
        <w:tc>
          <w:tcPr>
            <w:tcW w:w="8534" w:type="dxa"/>
            <w:vAlign w:val="center"/>
          </w:tcPr>
          <w:p w14:paraId="0E92D10A" w14:textId="77777777" w:rsidR="00E960EE" w:rsidRPr="008443FF" w:rsidRDefault="00E960EE" w:rsidP="0022626E">
            <w:pPr>
              <w:pStyle w:val="ListParagraph"/>
              <w:numPr>
                <w:ilvl w:val="0"/>
                <w:numId w:val="7"/>
              </w:numPr>
              <w:spacing w:after="0"/>
            </w:pPr>
          </w:p>
        </w:tc>
      </w:tr>
      <w:tr w:rsidR="00E960EE" w:rsidRPr="008443FF" w14:paraId="2B3852B7" w14:textId="77777777" w:rsidTr="003C08FD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03EEA80A" w14:textId="29FB6483" w:rsidR="00E960EE" w:rsidRDefault="00E960EE" w:rsidP="0022626E">
            <w:pPr>
              <w:spacing w:before="30" w:after="30"/>
            </w:pPr>
            <w:r>
              <w:t>Principle six: Continuous learning, improvement and support</w:t>
            </w:r>
          </w:p>
        </w:tc>
        <w:tc>
          <w:tcPr>
            <w:tcW w:w="8534" w:type="dxa"/>
            <w:vAlign w:val="center"/>
          </w:tcPr>
          <w:p w14:paraId="75B13B2E" w14:textId="77777777" w:rsidR="00E960EE" w:rsidRPr="008443FF" w:rsidRDefault="00E960EE" w:rsidP="0022626E">
            <w:pPr>
              <w:pStyle w:val="ListParagraph"/>
              <w:numPr>
                <w:ilvl w:val="0"/>
                <w:numId w:val="7"/>
              </w:numPr>
              <w:spacing w:after="0"/>
            </w:pPr>
          </w:p>
        </w:tc>
      </w:tr>
      <w:tr w:rsidR="00732F49" w:rsidRPr="008443FF" w14:paraId="6FB5E431" w14:textId="77777777" w:rsidTr="003C08FD">
        <w:trPr>
          <w:cantSplit/>
          <w:trHeight w:val="373"/>
        </w:trPr>
        <w:tc>
          <w:tcPr>
            <w:tcW w:w="6096" w:type="dxa"/>
            <w:shd w:val="clear" w:color="auto" w:fill="FFFFFF" w:themeFill="background1"/>
            <w:vAlign w:val="center"/>
          </w:tcPr>
          <w:p w14:paraId="415775B8" w14:textId="77777777" w:rsidR="00732F49" w:rsidRPr="0022626E" w:rsidRDefault="00732F49" w:rsidP="0022626E">
            <w:pPr>
              <w:spacing w:before="60" w:after="60"/>
            </w:pPr>
            <w:r w:rsidRPr="0022626E">
              <w:rPr>
                <w:b/>
              </w:rPr>
              <w:t xml:space="preserve">Next steps and </w:t>
            </w:r>
            <w:r w:rsidRPr="003C08FD">
              <w:rPr>
                <w:b/>
                <w:shd w:val="clear" w:color="auto" w:fill="FFFFFF" w:themeFill="background1"/>
              </w:rPr>
              <w:t>finalisation of the</w:t>
            </w:r>
            <w:r w:rsidRPr="0022626E">
              <w:rPr>
                <w:b/>
              </w:rPr>
              <w:t xml:space="preserve"> National Strategic Framework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4309F2D6" w14:textId="00185A93" w:rsidR="00732F49" w:rsidRPr="00732F49" w:rsidRDefault="00732F49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22626E" w:rsidRPr="008443FF" w14:paraId="03C1AAA2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787D8E1B" w14:textId="0894A875" w:rsidR="0022626E" w:rsidRPr="00722C9B" w:rsidRDefault="0022626E" w:rsidP="0022626E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Calibri" w:hAnsi="Calibri"/>
                <w:b/>
              </w:rPr>
            </w:pPr>
            <w:r w:rsidRPr="005F5BF2">
              <w:rPr>
                <w:rFonts w:ascii="Calibri" w:hAnsi="Calibri"/>
                <w:b/>
                <w:sz w:val="22"/>
              </w:rPr>
              <w:t>NATIONAL PERFORMANCE INDICATORS</w:t>
            </w:r>
          </w:p>
        </w:tc>
      </w:tr>
      <w:tr w:rsidR="00732F49" w:rsidRPr="008443FF" w14:paraId="4FC47BC6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4BD95544" w14:textId="77777777" w:rsidR="00732F49" w:rsidRPr="0022626E" w:rsidRDefault="00732F49" w:rsidP="0022626E">
            <w:pPr>
              <w:spacing w:before="60" w:after="60"/>
            </w:pPr>
            <w:r w:rsidRPr="0022626E">
              <w:rPr>
                <w:b/>
              </w:rPr>
              <w:t>Overview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4D1F95D9" w14:textId="65517656" w:rsidR="00732F49" w:rsidRPr="00732F49" w:rsidRDefault="00732F49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5C54C0" w:rsidRPr="008443FF" w14:paraId="745904B5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42C341F7" w14:textId="1AB7B70B" w:rsidR="005C54C0" w:rsidRPr="00362B1E" w:rsidRDefault="005C54C0" w:rsidP="00362B1E">
            <w:pPr>
              <w:spacing w:before="30" w:after="30"/>
            </w:pPr>
            <w:r w:rsidRPr="00362B1E">
              <w:rPr>
                <w:rFonts w:cstheme="minorBidi"/>
              </w:rPr>
              <w:t>Number and percentage of clients receiving legal assistance who are financially disadvantaged disaggregated by priority client groups.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57C67A92" w14:textId="77777777" w:rsidR="005C54C0" w:rsidRPr="00732F49" w:rsidRDefault="005C54C0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  <w:b/>
              </w:rPr>
            </w:pPr>
          </w:p>
        </w:tc>
      </w:tr>
      <w:tr w:rsidR="005C54C0" w:rsidRPr="008443FF" w14:paraId="557F72BC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1D5FCD82" w14:textId="77777777" w:rsidR="005C54C0" w:rsidRPr="00362B1E" w:rsidRDefault="005C54C0" w:rsidP="00362B1E">
            <w:pPr>
              <w:spacing w:before="30" w:after="30"/>
            </w:pPr>
            <w:r w:rsidRPr="00362B1E">
              <w:rPr>
                <w:rFonts w:cstheme="minorBidi"/>
              </w:rPr>
              <w:t>Number and percentage of services delivered by legal assistance providers, disaggregated by:</w:t>
            </w:r>
          </w:p>
          <w:p w14:paraId="7F5BA9B9" w14:textId="77777777" w:rsidR="005C54C0" w:rsidRPr="00362B1E" w:rsidRDefault="005C54C0" w:rsidP="00362B1E">
            <w:pPr>
              <w:pStyle w:val="ListParagraph"/>
              <w:numPr>
                <w:ilvl w:val="0"/>
                <w:numId w:val="27"/>
              </w:numPr>
              <w:spacing w:before="30" w:after="30" w:line="240" w:lineRule="auto"/>
              <w:ind w:left="626" w:hanging="284"/>
              <w:rPr>
                <w:rFonts w:ascii="Calibri" w:hAnsi="Calibri"/>
              </w:rPr>
            </w:pPr>
            <w:r w:rsidRPr="00362B1E">
              <w:rPr>
                <w:rFonts w:ascii="Calibri" w:hAnsi="Calibri" w:cstheme="minorBidi"/>
              </w:rPr>
              <w:t>funding category (Commonwealth or state or territory funding)</w:t>
            </w:r>
          </w:p>
          <w:p w14:paraId="7A8B1291" w14:textId="77777777" w:rsidR="005C54C0" w:rsidRPr="00362B1E" w:rsidRDefault="005C54C0" w:rsidP="00362B1E">
            <w:pPr>
              <w:pStyle w:val="ListParagraph"/>
              <w:numPr>
                <w:ilvl w:val="0"/>
                <w:numId w:val="27"/>
              </w:numPr>
              <w:spacing w:before="30" w:after="30" w:line="240" w:lineRule="auto"/>
              <w:ind w:left="626" w:hanging="284"/>
              <w:rPr>
                <w:rFonts w:ascii="Calibri" w:hAnsi="Calibri"/>
              </w:rPr>
            </w:pPr>
            <w:r w:rsidRPr="00362B1E">
              <w:rPr>
                <w:rFonts w:ascii="Calibri" w:hAnsi="Calibri" w:cstheme="minorBidi"/>
              </w:rPr>
              <w:t xml:space="preserve">intensity (service category and service type – for example, representation services is the service category and court/tribunal </w:t>
            </w:r>
            <w:proofErr w:type="gramStart"/>
            <w:r w:rsidRPr="00362B1E">
              <w:rPr>
                <w:rFonts w:ascii="Calibri" w:hAnsi="Calibri" w:cstheme="minorBidi"/>
              </w:rPr>
              <w:t>is</w:t>
            </w:r>
            <w:proofErr w:type="gramEnd"/>
            <w:r w:rsidRPr="00362B1E">
              <w:rPr>
                <w:rFonts w:ascii="Calibri" w:hAnsi="Calibri" w:cstheme="minorBidi"/>
              </w:rPr>
              <w:t xml:space="preserve"> the service type)</w:t>
            </w:r>
          </w:p>
          <w:p w14:paraId="44544853" w14:textId="77777777" w:rsidR="005C54C0" w:rsidRPr="00362B1E" w:rsidRDefault="005C54C0" w:rsidP="00362B1E">
            <w:pPr>
              <w:pStyle w:val="ListParagraph"/>
              <w:numPr>
                <w:ilvl w:val="0"/>
                <w:numId w:val="27"/>
              </w:numPr>
              <w:spacing w:before="30" w:after="30" w:line="240" w:lineRule="auto"/>
              <w:ind w:left="626" w:hanging="284"/>
              <w:rPr>
                <w:rFonts w:ascii="Calibri" w:hAnsi="Calibri"/>
              </w:rPr>
            </w:pPr>
            <w:r w:rsidRPr="00362B1E">
              <w:rPr>
                <w:rFonts w:ascii="Calibri" w:hAnsi="Calibri" w:cstheme="minorBidi"/>
              </w:rPr>
              <w:t>law type and problem type (for example, criminal law is the law type and aggravated assault is the problem type), and</w:t>
            </w:r>
          </w:p>
          <w:p w14:paraId="785A3CE3" w14:textId="70677789" w:rsidR="005C54C0" w:rsidRPr="00362B1E" w:rsidRDefault="005C54C0" w:rsidP="00362B1E">
            <w:pPr>
              <w:pStyle w:val="ListParagraph"/>
              <w:numPr>
                <w:ilvl w:val="0"/>
                <w:numId w:val="27"/>
              </w:numPr>
              <w:spacing w:before="30" w:after="30" w:line="240" w:lineRule="auto"/>
              <w:ind w:left="626" w:hanging="284"/>
            </w:pPr>
            <w:r w:rsidRPr="00362B1E">
              <w:rPr>
                <w:rFonts w:ascii="Calibri" w:hAnsi="Calibri" w:cstheme="minorBidi"/>
              </w:rPr>
              <w:t>client type (indicators of disadvantage and priority client groups).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38DEC6DA" w14:textId="77777777" w:rsidR="005C54C0" w:rsidRPr="00732F49" w:rsidRDefault="005C54C0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  <w:b/>
              </w:rPr>
            </w:pPr>
          </w:p>
        </w:tc>
      </w:tr>
      <w:tr w:rsidR="005C54C0" w:rsidRPr="008443FF" w14:paraId="48D602AB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E21E58D" w14:textId="77777777" w:rsidR="005C54C0" w:rsidRPr="00362B1E" w:rsidRDefault="005C54C0" w:rsidP="00362B1E">
            <w:pPr>
              <w:spacing w:before="30" w:after="30"/>
            </w:pPr>
            <w:r w:rsidRPr="00362B1E">
              <w:rPr>
                <w:rFonts w:cstheme="minorBidi"/>
              </w:rPr>
              <w:t>Assessment of clients’ experience of legal assistance services, addressing issues relating to:</w:t>
            </w:r>
          </w:p>
          <w:p w14:paraId="55703234" w14:textId="77777777" w:rsidR="005C54C0" w:rsidRPr="00362B1E" w:rsidRDefault="005C54C0" w:rsidP="00362B1E">
            <w:pPr>
              <w:pStyle w:val="ListParagraph"/>
              <w:numPr>
                <w:ilvl w:val="0"/>
                <w:numId w:val="27"/>
              </w:numPr>
              <w:spacing w:before="30" w:after="30" w:line="240" w:lineRule="auto"/>
              <w:ind w:left="626" w:hanging="284"/>
              <w:rPr>
                <w:rFonts w:ascii="Calibri" w:hAnsi="Calibri"/>
              </w:rPr>
            </w:pPr>
            <w:r w:rsidRPr="00362B1E">
              <w:rPr>
                <w:rFonts w:ascii="Calibri" w:hAnsi="Calibri" w:cstheme="minorBidi"/>
              </w:rPr>
              <w:t>accessibility</w:t>
            </w:r>
          </w:p>
          <w:p w14:paraId="4C42E8E1" w14:textId="77777777" w:rsidR="005C54C0" w:rsidRPr="00362B1E" w:rsidRDefault="005C54C0" w:rsidP="00362B1E">
            <w:pPr>
              <w:pStyle w:val="ListParagraph"/>
              <w:numPr>
                <w:ilvl w:val="0"/>
                <w:numId w:val="27"/>
              </w:numPr>
              <w:spacing w:before="30" w:after="30" w:line="240" w:lineRule="auto"/>
              <w:ind w:left="626" w:hanging="284"/>
              <w:rPr>
                <w:rFonts w:ascii="Calibri" w:hAnsi="Calibri"/>
              </w:rPr>
            </w:pPr>
            <w:r w:rsidRPr="00362B1E">
              <w:rPr>
                <w:rFonts w:ascii="Calibri" w:hAnsi="Calibri" w:cstheme="minorBidi"/>
              </w:rPr>
              <w:t>service quality and relevance to legal need</w:t>
            </w:r>
          </w:p>
          <w:p w14:paraId="3DECE079" w14:textId="77777777" w:rsidR="005C54C0" w:rsidRPr="00362B1E" w:rsidRDefault="005C54C0" w:rsidP="00362B1E">
            <w:pPr>
              <w:pStyle w:val="ListParagraph"/>
              <w:numPr>
                <w:ilvl w:val="0"/>
                <w:numId w:val="27"/>
              </w:numPr>
              <w:spacing w:before="30" w:after="30" w:line="240" w:lineRule="auto"/>
              <w:ind w:left="626" w:hanging="284"/>
              <w:rPr>
                <w:rFonts w:ascii="Calibri" w:hAnsi="Calibri"/>
              </w:rPr>
            </w:pPr>
            <w:r w:rsidRPr="00362B1E">
              <w:rPr>
                <w:rFonts w:ascii="Calibri" w:hAnsi="Calibri" w:cstheme="minorBidi"/>
              </w:rPr>
              <w:t>appropriate referral, and</w:t>
            </w:r>
          </w:p>
          <w:p w14:paraId="160265B5" w14:textId="436C488A" w:rsidR="005C54C0" w:rsidRPr="00362B1E" w:rsidRDefault="005C54C0" w:rsidP="00362B1E">
            <w:pPr>
              <w:pStyle w:val="ListParagraph"/>
              <w:numPr>
                <w:ilvl w:val="0"/>
                <w:numId w:val="27"/>
              </w:numPr>
              <w:spacing w:before="30" w:after="30" w:line="240" w:lineRule="auto"/>
              <w:ind w:left="626" w:hanging="284"/>
            </w:pPr>
            <w:r w:rsidRPr="00362B1E">
              <w:rPr>
                <w:rFonts w:ascii="Calibri" w:hAnsi="Calibri" w:cstheme="minorBidi"/>
              </w:rPr>
              <w:t>overall utility in improving client outcomes (timeliness and increased confidence to take action).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75048101" w14:textId="77777777" w:rsidR="005C54C0" w:rsidRPr="00732F49" w:rsidRDefault="005C54C0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  <w:b/>
              </w:rPr>
            </w:pPr>
          </w:p>
        </w:tc>
      </w:tr>
      <w:tr w:rsidR="005C54C0" w:rsidRPr="008443FF" w14:paraId="2E693F0E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9FD83EB" w14:textId="3889E279" w:rsidR="005C54C0" w:rsidRPr="00362B1E" w:rsidRDefault="005C54C0" w:rsidP="00362B1E">
            <w:pPr>
              <w:spacing w:before="30" w:after="30"/>
            </w:pPr>
            <w:r w:rsidRPr="00362B1E">
              <w:rPr>
                <w:rFonts w:cstheme="minorBidi"/>
              </w:rPr>
              <w:t>Number of referrals made to and from legal assistance providers, disaggregated by source, provider referred to and reason.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6DBAB2C6" w14:textId="77777777" w:rsidR="005C54C0" w:rsidRPr="00732F49" w:rsidRDefault="005C54C0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  <w:b/>
              </w:rPr>
            </w:pPr>
          </w:p>
        </w:tc>
      </w:tr>
      <w:tr w:rsidR="005C54C0" w:rsidRPr="008443FF" w14:paraId="0AF1F0C9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6FF1FDC3" w14:textId="7D24D778" w:rsidR="005C54C0" w:rsidRPr="00362B1E" w:rsidRDefault="005C54C0" w:rsidP="00362B1E">
            <w:pPr>
              <w:spacing w:before="30" w:after="30"/>
            </w:pPr>
            <w:r w:rsidRPr="00362B1E">
              <w:rPr>
                <w:rFonts w:cstheme="minorBidi"/>
              </w:rPr>
              <w:t>Number of training or capacity building activities conducted or undertaken by legal assistance providers, with other services.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31A11010" w14:textId="77777777" w:rsidR="005C54C0" w:rsidRPr="00732F49" w:rsidRDefault="005C54C0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  <w:b/>
              </w:rPr>
            </w:pPr>
          </w:p>
        </w:tc>
      </w:tr>
      <w:tr w:rsidR="00732F49" w:rsidRPr="008443FF" w14:paraId="0ACD4B93" w14:textId="77777777" w:rsidTr="003C08FD">
        <w:trPr>
          <w:cantSplit/>
          <w:trHeight w:val="37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045FB0F9" w14:textId="01359C36" w:rsidR="00732F49" w:rsidRPr="0022626E" w:rsidRDefault="00732F49" w:rsidP="0022626E">
            <w:pPr>
              <w:spacing w:before="60" w:after="60"/>
              <w:rPr>
                <w:b/>
              </w:rPr>
            </w:pPr>
            <w:r w:rsidRPr="0022626E">
              <w:rPr>
                <w:b/>
              </w:rPr>
              <w:t>Interpretation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3972F928" w14:textId="0FF35063" w:rsidR="00732F49" w:rsidRPr="00732F49" w:rsidRDefault="00732F49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  <w:b/>
              </w:rPr>
            </w:pPr>
          </w:p>
        </w:tc>
      </w:tr>
    </w:tbl>
    <w:p w14:paraId="37614E1F" w14:textId="77777777" w:rsidR="005C54C0" w:rsidRDefault="005C54C0">
      <w:r>
        <w:br w:type="page"/>
      </w:r>
    </w:p>
    <w:tbl>
      <w:tblPr>
        <w:tblStyle w:val="TableGrid"/>
        <w:tblW w:w="146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96"/>
        <w:gridCol w:w="8534"/>
      </w:tblGrid>
      <w:tr w:rsidR="0022626E" w:rsidRPr="008443FF" w14:paraId="518A776D" w14:textId="77777777" w:rsidTr="00732F49">
        <w:trPr>
          <w:cantSplit/>
        </w:trPr>
        <w:tc>
          <w:tcPr>
            <w:tcW w:w="14630" w:type="dxa"/>
            <w:gridSpan w:val="2"/>
            <w:shd w:val="clear" w:color="auto" w:fill="B4C6E7" w:themeFill="accent5" w:themeFillTint="66"/>
            <w:vAlign w:val="center"/>
          </w:tcPr>
          <w:p w14:paraId="05D82EDD" w14:textId="60DA7257" w:rsidR="0022626E" w:rsidRPr="00722C9B" w:rsidRDefault="0022626E" w:rsidP="0022626E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Calibri" w:hAnsi="Calibri"/>
                <w:b/>
              </w:rPr>
            </w:pPr>
            <w:r w:rsidRPr="005F5BF2">
              <w:rPr>
                <w:rFonts w:ascii="Calibri" w:hAnsi="Calibri"/>
                <w:b/>
                <w:sz w:val="22"/>
              </w:rPr>
              <w:lastRenderedPageBreak/>
              <w:t>JURISDICTIONAL PERFORMANCE REPORT</w:t>
            </w:r>
          </w:p>
        </w:tc>
      </w:tr>
      <w:tr w:rsidR="00732F49" w:rsidRPr="008443FF" w14:paraId="61F2FEEE" w14:textId="77777777" w:rsidTr="003C08FD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349DE12D" w14:textId="77777777" w:rsidR="00732F49" w:rsidRPr="0022626E" w:rsidRDefault="00732F49" w:rsidP="0022626E">
            <w:pPr>
              <w:spacing w:before="60" w:after="60"/>
            </w:pPr>
            <w:r w:rsidRPr="0022626E">
              <w:rPr>
                <w:b/>
              </w:rPr>
              <w:t>Overview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0805CF6B" w14:textId="774F347F" w:rsidR="00732F49" w:rsidRPr="00732F49" w:rsidRDefault="00732F49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5C54C0" w:rsidRPr="008443FF" w14:paraId="3864B9B4" w14:textId="77777777" w:rsidTr="003C08FD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3A39A0A7" w14:textId="2D5EDAA2" w:rsidR="005C54C0" w:rsidRPr="00362B1E" w:rsidRDefault="005C54C0" w:rsidP="0022626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273D2">
              <w:rPr>
                <w:rFonts w:cstheme="minorHAnsi"/>
                <w:color w:val="000000"/>
                <w:spacing w:val="-9"/>
              </w:rPr>
              <w:t>Information relating to each jurisdiction’s Legal Assistance Strategy and Legal Assistance Action Plan.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4FD4F917" w14:textId="77777777" w:rsidR="005C54C0" w:rsidRPr="00732F49" w:rsidRDefault="005C54C0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5C54C0" w:rsidRPr="008443FF" w14:paraId="4A8D65B9" w14:textId="77777777" w:rsidTr="003C08FD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717ABD4C" w14:textId="3746C77E" w:rsidR="005C54C0" w:rsidRPr="00362B1E" w:rsidRDefault="005C54C0" w:rsidP="0022626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5C54C0">
              <w:rPr>
                <w:rFonts w:cstheme="minorHAnsi"/>
                <w:color w:val="000000"/>
                <w:spacing w:val="-9"/>
              </w:rPr>
              <w:t>De</w:t>
            </w:r>
            <w:r w:rsidRPr="005C54C0">
              <w:rPr>
                <w:rFonts w:cstheme="minorHAnsi"/>
                <w:color w:val="000000"/>
                <w:spacing w:val="-9"/>
              </w:rPr>
              <w:noBreakHyphen/>
              <w:t>identified data of services provided by legal assistance providers, funded by the Commonwealth and the states and territories.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0CBD059F" w14:textId="77777777" w:rsidR="005C54C0" w:rsidRPr="00732F49" w:rsidRDefault="005C54C0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5C54C0" w:rsidRPr="008443FF" w14:paraId="0D607CA4" w14:textId="77777777" w:rsidTr="003C08FD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082FEEB7" w14:textId="77777777" w:rsidR="005C54C0" w:rsidRPr="00362B1E" w:rsidRDefault="005C54C0" w:rsidP="005C54C0">
            <w:pPr>
              <w:spacing w:before="60"/>
              <w:rPr>
                <w:rFonts w:asciiTheme="minorHAnsi" w:hAnsiTheme="minorHAnsi" w:cstheme="minorHAnsi"/>
                <w:color w:val="000000"/>
                <w:spacing w:val="-9"/>
              </w:rPr>
            </w:pPr>
            <w:r w:rsidRPr="005C54C0">
              <w:rPr>
                <w:rFonts w:cstheme="minorHAnsi"/>
                <w:color w:val="000000"/>
                <w:spacing w:val="-9"/>
              </w:rPr>
              <w:t xml:space="preserve">Case studies relating to the range of service delivery models used by legal assistance providers. </w:t>
            </w:r>
            <w:r w:rsidRPr="005C54C0">
              <w:rPr>
                <w:rFonts w:cstheme="minorHAnsi"/>
              </w:rPr>
              <w:t xml:space="preserve">Service delivery model refers to the range of practices undertaken by legal assistance providers in the delivery of services to clients. This case study would capture </w:t>
            </w:r>
            <w:r w:rsidRPr="005C54C0">
              <w:rPr>
                <w:rFonts w:cstheme="minorHAnsi"/>
                <w:color w:val="000000"/>
                <w:spacing w:val="-9"/>
              </w:rPr>
              <w:t>information relating to:</w:t>
            </w:r>
          </w:p>
          <w:p w14:paraId="31E5888C" w14:textId="77777777" w:rsidR="005C54C0" w:rsidRPr="00362B1E" w:rsidRDefault="005C54C0" w:rsidP="005C54C0">
            <w:pPr>
              <w:pStyle w:val="ListParagraph"/>
              <w:numPr>
                <w:ilvl w:val="0"/>
                <w:numId w:val="28"/>
              </w:numPr>
              <w:spacing w:before="60" w:after="0" w:line="240" w:lineRule="auto"/>
              <w:ind w:left="484" w:hanging="284"/>
              <w:rPr>
                <w:rFonts w:asciiTheme="minorHAnsi" w:hAnsiTheme="minorHAnsi" w:cstheme="minorHAnsi"/>
                <w:color w:val="000000"/>
                <w:spacing w:val="-9"/>
              </w:rPr>
            </w:pPr>
            <w:r w:rsidRPr="00362B1E">
              <w:rPr>
                <w:rFonts w:asciiTheme="minorHAnsi" w:hAnsiTheme="minorHAnsi" w:cstheme="minorHAnsi"/>
                <w:color w:val="000000"/>
                <w:spacing w:val="-9"/>
              </w:rPr>
              <w:t>detailed description of the service delivery model used</w:t>
            </w:r>
          </w:p>
          <w:p w14:paraId="4DB420D3" w14:textId="77777777" w:rsidR="005C54C0" w:rsidRPr="00362B1E" w:rsidRDefault="005C54C0" w:rsidP="005C54C0">
            <w:pPr>
              <w:pStyle w:val="ListParagraph"/>
              <w:numPr>
                <w:ilvl w:val="0"/>
                <w:numId w:val="28"/>
              </w:numPr>
              <w:spacing w:before="60" w:after="0" w:line="240" w:lineRule="auto"/>
              <w:ind w:left="484" w:hanging="284"/>
              <w:rPr>
                <w:rFonts w:asciiTheme="minorHAnsi" w:hAnsiTheme="minorHAnsi" w:cstheme="minorHAnsi"/>
                <w:color w:val="000000"/>
                <w:spacing w:val="-9"/>
              </w:rPr>
            </w:pPr>
            <w:r w:rsidRPr="00362B1E">
              <w:rPr>
                <w:rFonts w:asciiTheme="minorHAnsi" w:hAnsiTheme="minorHAnsi" w:cstheme="minorHAnsi"/>
                <w:color w:val="000000"/>
                <w:spacing w:val="-9"/>
              </w:rPr>
              <w:t>cost in providing services, and</w:t>
            </w:r>
          </w:p>
          <w:p w14:paraId="1FCF014B" w14:textId="6BBC8832" w:rsidR="005C54C0" w:rsidRPr="00362B1E" w:rsidRDefault="005C54C0" w:rsidP="00362B1E">
            <w:pPr>
              <w:pStyle w:val="ListParagraph"/>
              <w:numPr>
                <w:ilvl w:val="0"/>
                <w:numId w:val="28"/>
              </w:numPr>
              <w:spacing w:before="60" w:after="0" w:line="240" w:lineRule="auto"/>
              <w:ind w:left="484" w:hanging="284"/>
              <w:rPr>
                <w:rFonts w:asciiTheme="minorHAnsi" w:hAnsiTheme="minorHAnsi" w:cstheme="minorHAnsi"/>
                <w:b/>
              </w:rPr>
            </w:pPr>
            <w:r w:rsidRPr="00362B1E">
              <w:rPr>
                <w:rFonts w:asciiTheme="minorHAnsi" w:hAnsiTheme="minorHAnsi" w:cstheme="minorHAnsi"/>
                <w:color w:val="000000"/>
                <w:spacing w:val="-9"/>
              </w:rPr>
              <w:t>benefits and barriers to clients</w:t>
            </w:r>
            <w:r>
              <w:rPr>
                <w:rFonts w:asciiTheme="minorHAnsi" w:hAnsiTheme="minorHAnsi" w:cstheme="minorHAnsi"/>
                <w:color w:val="000000"/>
                <w:spacing w:val="-9"/>
              </w:rPr>
              <w:t>.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637151EA" w14:textId="77777777" w:rsidR="005C54C0" w:rsidRPr="00732F49" w:rsidRDefault="005C54C0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  <w:tr w:rsidR="005C54C0" w:rsidRPr="008443FF" w14:paraId="2AB0F7F7" w14:textId="77777777" w:rsidTr="003C08FD">
        <w:trPr>
          <w:cantSplit/>
        </w:trPr>
        <w:tc>
          <w:tcPr>
            <w:tcW w:w="6096" w:type="dxa"/>
            <w:shd w:val="clear" w:color="auto" w:fill="FFFFFF" w:themeFill="background1"/>
            <w:vAlign w:val="center"/>
          </w:tcPr>
          <w:p w14:paraId="44E94E66" w14:textId="2B0CEC92" w:rsidR="005C54C0" w:rsidRPr="00362B1E" w:rsidRDefault="005C54C0" w:rsidP="0022626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5C54C0">
              <w:rPr>
                <w:rFonts w:cstheme="minorHAnsi"/>
                <w:color w:val="000000"/>
                <w:spacing w:val="-9"/>
              </w:rPr>
              <w:t>Case studies relating to the triage models used by legal assistance providers.</w:t>
            </w:r>
          </w:p>
        </w:tc>
        <w:tc>
          <w:tcPr>
            <w:tcW w:w="8534" w:type="dxa"/>
            <w:shd w:val="clear" w:color="auto" w:fill="FFFFFF" w:themeFill="background1"/>
            <w:vAlign w:val="center"/>
          </w:tcPr>
          <w:p w14:paraId="45716809" w14:textId="77777777" w:rsidR="005C54C0" w:rsidRPr="00732F49" w:rsidRDefault="005C54C0" w:rsidP="00732F4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hAnsi="Calibri"/>
              </w:rPr>
            </w:pPr>
          </w:p>
        </w:tc>
      </w:tr>
    </w:tbl>
    <w:p w14:paraId="422AE01B" w14:textId="77777777" w:rsidR="00BB01BA" w:rsidRDefault="00BB01BA" w:rsidP="00EA3699">
      <w:bookmarkStart w:id="12" w:name="_GoBack"/>
      <w:bookmarkEnd w:id="12"/>
    </w:p>
    <w:sectPr w:rsidR="00BB01BA" w:rsidSect="00EA3699">
      <w:headerReference w:type="default" r:id="rId9"/>
      <w:pgSz w:w="16838" w:h="11906" w:orient="landscape"/>
      <w:pgMar w:top="1418" w:right="252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BE9EB" w14:textId="77777777" w:rsidR="00423E0C" w:rsidRDefault="00423E0C" w:rsidP="00BB01BA">
      <w:pPr>
        <w:spacing w:after="0" w:line="240" w:lineRule="auto"/>
      </w:pPr>
      <w:r>
        <w:separator/>
      </w:r>
    </w:p>
  </w:endnote>
  <w:endnote w:type="continuationSeparator" w:id="0">
    <w:p w14:paraId="419FA7C4" w14:textId="77777777" w:rsidR="00423E0C" w:rsidRDefault="00423E0C" w:rsidP="00BB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D4B43" w14:textId="77777777" w:rsidR="00423E0C" w:rsidRDefault="00423E0C" w:rsidP="00BB01BA">
      <w:pPr>
        <w:spacing w:after="0" w:line="240" w:lineRule="auto"/>
      </w:pPr>
      <w:r>
        <w:separator/>
      </w:r>
    </w:p>
  </w:footnote>
  <w:footnote w:type="continuationSeparator" w:id="0">
    <w:p w14:paraId="5BCB8A3D" w14:textId="77777777" w:rsidR="00423E0C" w:rsidRDefault="00423E0C" w:rsidP="00BB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108EC" w14:textId="77777777" w:rsidR="00BB01BA" w:rsidRPr="00BB01BA" w:rsidRDefault="00BB01BA" w:rsidP="00BB01BA">
    <w:pPr>
      <w:pStyle w:val="Header"/>
      <w:jc w:val="right"/>
      <w:rPr>
        <w:color w:val="AEAAAA" w:themeColor="background2" w:themeShade="BF"/>
      </w:rPr>
    </w:pPr>
    <w:r w:rsidRPr="00BB01BA">
      <w:rPr>
        <w:caps/>
        <w:noProof/>
        <w:color w:val="AEAAAA" w:themeColor="background2" w:themeShade="BF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41A6DF" wp14:editId="14ABC43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3D1CB" w14:textId="77777777" w:rsidR="00BB01BA" w:rsidRDefault="00BB01BA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D30C6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41A6DF"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C93D1CB" w14:textId="77777777" w:rsidR="00BB01BA" w:rsidRDefault="00BB01BA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FD30C6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BB01BA">
      <w:rPr>
        <w:color w:val="AEAAAA" w:themeColor="background2" w:themeShade="BF"/>
      </w:rPr>
      <w:t>NATIONAL LEGAL ASSISTANCE PARTNERSHIP (NLAP) – OVERVIEW PAPER FEEDBACK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042A"/>
    <w:multiLevelType w:val="hybridMultilevel"/>
    <w:tmpl w:val="5B9859B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744B8"/>
    <w:multiLevelType w:val="hybridMultilevel"/>
    <w:tmpl w:val="F68862A6"/>
    <w:lvl w:ilvl="0" w:tplc="88A4950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7B7"/>
    <w:multiLevelType w:val="hybridMultilevel"/>
    <w:tmpl w:val="23EC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9B3"/>
    <w:multiLevelType w:val="hybridMultilevel"/>
    <w:tmpl w:val="36FE1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D2E3C"/>
    <w:multiLevelType w:val="hybridMultilevel"/>
    <w:tmpl w:val="00426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B63"/>
    <w:multiLevelType w:val="hybridMultilevel"/>
    <w:tmpl w:val="FF62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79F6"/>
    <w:multiLevelType w:val="hybridMultilevel"/>
    <w:tmpl w:val="E5FC9AF4"/>
    <w:lvl w:ilvl="0" w:tplc="82A45D8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31804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C70A8"/>
    <w:multiLevelType w:val="hybridMultilevel"/>
    <w:tmpl w:val="7318D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74C3"/>
    <w:multiLevelType w:val="hybridMultilevel"/>
    <w:tmpl w:val="5BA8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F647B"/>
    <w:multiLevelType w:val="hybridMultilevel"/>
    <w:tmpl w:val="6BC6E404"/>
    <w:lvl w:ilvl="0" w:tplc="0944EA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803130"/>
    <w:multiLevelType w:val="hybridMultilevel"/>
    <w:tmpl w:val="6DB2DAB0"/>
    <w:lvl w:ilvl="0" w:tplc="0944EA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96F03"/>
    <w:multiLevelType w:val="hybridMultilevel"/>
    <w:tmpl w:val="2E641870"/>
    <w:lvl w:ilvl="0" w:tplc="E1CCD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E1EF2"/>
    <w:multiLevelType w:val="hybridMultilevel"/>
    <w:tmpl w:val="419C7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91B5D"/>
    <w:multiLevelType w:val="hybridMultilevel"/>
    <w:tmpl w:val="519A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310B3"/>
    <w:multiLevelType w:val="hybridMultilevel"/>
    <w:tmpl w:val="1CAEB0C8"/>
    <w:lvl w:ilvl="0" w:tplc="75745D3A">
      <w:start w:val="6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D5B36"/>
    <w:multiLevelType w:val="hybridMultilevel"/>
    <w:tmpl w:val="C194D528"/>
    <w:lvl w:ilvl="0" w:tplc="E1CCD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33A77"/>
    <w:multiLevelType w:val="hybridMultilevel"/>
    <w:tmpl w:val="4412CA38"/>
    <w:lvl w:ilvl="0" w:tplc="89E69C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19E368C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A620A6D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5754A020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B51CD"/>
    <w:multiLevelType w:val="hybridMultilevel"/>
    <w:tmpl w:val="EEA25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7798F"/>
    <w:multiLevelType w:val="hybridMultilevel"/>
    <w:tmpl w:val="8EB65E72"/>
    <w:lvl w:ilvl="0" w:tplc="E1CCD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40F1E"/>
    <w:multiLevelType w:val="hybridMultilevel"/>
    <w:tmpl w:val="25546228"/>
    <w:lvl w:ilvl="0" w:tplc="E1CCD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F6441"/>
    <w:multiLevelType w:val="hybridMultilevel"/>
    <w:tmpl w:val="D90A16D0"/>
    <w:lvl w:ilvl="0" w:tplc="E1CCD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81773"/>
    <w:multiLevelType w:val="hybridMultilevel"/>
    <w:tmpl w:val="9C9ECB98"/>
    <w:lvl w:ilvl="0" w:tplc="E1CCD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535F4"/>
    <w:multiLevelType w:val="hybridMultilevel"/>
    <w:tmpl w:val="0B44761C"/>
    <w:lvl w:ilvl="0" w:tplc="E1CCD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A2043"/>
    <w:multiLevelType w:val="hybridMultilevel"/>
    <w:tmpl w:val="50F2E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14E21"/>
    <w:multiLevelType w:val="hybridMultilevel"/>
    <w:tmpl w:val="159AF48E"/>
    <w:lvl w:ilvl="0" w:tplc="DAB04F3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9466A"/>
    <w:multiLevelType w:val="hybridMultilevel"/>
    <w:tmpl w:val="27621F0A"/>
    <w:lvl w:ilvl="0" w:tplc="E1CCDA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06A7E"/>
    <w:multiLevelType w:val="hybridMultilevel"/>
    <w:tmpl w:val="4F5E4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573B5"/>
    <w:multiLevelType w:val="hybridMultilevel"/>
    <w:tmpl w:val="7C84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"/>
  </w:num>
  <w:num w:numId="5">
    <w:abstractNumId w:val="24"/>
  </w:num>
  <w:num w:numId="6">
    <w:abstractNumId w:val="3"/>
  </w:num>
  <w:num w:numId="7">
    <w:abstractNumId w:val="7"/>
  </w:num>
  <w:num w:numId="8">
    <w:abstractNumId w:val="0"/>
  </w:num>
  <w:num w:numId="9">
    <w:abstractNumId w:val="23"/>
  </w:num>
  <w:num w:numId="10">
    <w:abstractNumId w:val="27"/>
  </w:num>
  <w:num w:numId="11">
    <w:abstractNumId w:val="8"/>
  </w:num>
  <w:num w:numId="12">
    <w:abstractNumId w:val="4"/>
  </w:num>
  <w:num w:numId="13">
    <w:abstractNumId w:val="26"/>
  </w:num>
  <w:num w:numId="14">
    <w:abstractNumId w:val="5"/>
  </w:num>
  <w:num w:numId="15">
    <w:abstractNumId w:val="12"/>
  </w:num>
  <w:num w:numId="16">
    <w:abstractNumId w:val="13"/>
  </w:num>
  <w:num w:numId="17">
    <w:abstractNumId w:val="2"/>
  </w:num>
  <w:num w:numId="18">
    <w:abstractNumId w:val="22"/>
  </w:num>
  <w:num w:numId="19">
    <w:abstractNumId w:val="19"/>
  </w:num>
  <w:num w:numId="20">
    <w:abstractNumId w:val="11"/>
  </w:num>
  <w:num w:numId="21">
    <w:abstractNumId w:val="25"/>
  </w:num>
  <w:num w:numId="22">
    <w:abstractNumId w:val="21"/>
  </w:num>
  <w:num w:numId="23">
    <w:abstractNumId w:val="20"/>
  </w:num>
  <w:num w:numId="24">
    <w:abstractNumId w:val="18"/>
  </w:num>
  <w:num w:numId="25">
    <w:abstractNumId w:val="15"/>
  </w:num>
  <w:num w:numId="26">
    <w:abstractNumId w:val="17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0MDI2tbA0NzI0MjVS0lEKTi0uzszPAykwrAUAOs34uiwAAAA="/>
  </w:docVars>
  <w:rsids>
    <w:rsidRoot w:val="00BB01BA"/>
    <w:rsid w:val="000E4B7A"/>
    <w:rsid w:val="00121362"/>
    <w:rsid w:val="00157062"/>
    <w:rsid w:val="001664F5"/>
    <w:rsid w:val="001C1B93"/>
    <w:rsid w:val="0022626E"/>
    <w:rsid w:val="002A6E86"/>
    <w:rsid w:val="00305071"/>
    <w:rsid w:val="00362B1E"/>
    <w:rsid w:val="003C08FD"/>
    <w:rsid w:val="003C2CFB"/>
    <w:rsid w:val="003E2A36"/>
    <w:rsid w:val="003F1773"/>
    <w:rsid w:val="00423E0C"/>
    <w:rsid w:val="004E1EF7"/>
    <w:rsid w:val="005C54C0"/>
    <w:rsid w:val="005E2505"/>
    <w:rsid w:val="005F5BF2"/>
    <w:rsid w:val="006D469F"/>
    <w:rsid w:val="00722C9B"/>
    <w:rsid w:val="00732F49"/>
    <w:rsid w:val="008273D2"/>
    <w:rsid w:val="00A166BA"/>
    <w:rsid w:val="00A77259"/>
    <w:rsid w:val="00AA70B1"/>
    <w:rsid w:val="00AE6E50"/>
    <w:rsid w:val="00B926FF"/>
    <w:rsid w:val="00BB01BA"/>
    <w:rsid w:val="00C11F9C"/>
    <w:rsid w:val="00CA1FB0"/>
    <w:rsid w:val="00D01D76"/>
    <w:rsid w:val="00D91A3D"/>
    <w:rsid w:val="00DF7B07"/>
    <w:rsid w:val="00E100BF"/>
    <w:rsid w:val="00E960EE"/>
    <w:rsid w:val="00EA3699"/>
    <w:rsid w:val="00EC731C"/>
    <w:rsid w:val="00F025E7"/>
    <w:rsid w:val="00F02B51"/>
    <w:rsid w:val="00F22CF3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CAC8"/>
  <w15:chartTrackingRefBased/>
  <w15:docId w15:val="{0B18AEC6-E611-46F0-BA4C-47D20AE0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1BA"/>
    <w:pPr>
      <w:keepNext/>
      <w:spacing w:after="0" w:line="240" w:lineRule="auto"/>
      <w:jc w:val="right"/>
      <w:outlineLvl w:val="0"/>
    </w:pPr>
    <w:rPr>
      <w:rFonts w:ascii="Corbel" w:eastAsia="SimSun" w:hAnsi="Corbel" w:cs="Angsana New"/>
      <w:bCs/>
      <w:color w:val="44546A" w:themeColor="text2"/>
      <w:kern w:val="32"/>
      <w:sz w:val="56"/>
      <w:szCs w:val="5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1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1BA"/>
    <w:rPr>
      <w:rFonts w:ascii="Corbel" w:eastAsia="SimSun" w:hAnsi="Corbel" w:cs="Angsana New"/>
      <w:bCs/>
      <w:color w:val="44546A" w:themeColor="text2"/>
      <w:kern w:val="32"/>
      <w:sz w:val="56"/>
      <w:szCs w:val="5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B0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BA"/>
  </w:style>
  <w:style w:type="paragraph" w:styleId="Footer">
    <w:name w:val="footer"/>
    <w:basedOn w:val="Normal"/>
    <w:link w:val="FooterChar"/>
    <w:uiPriority w:val="99"/>
    <w:unhideWhenUsed/>
    <w:rsid w:val="00BB0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BA"/>
  </w:style>
  <w:style w:type="table" w:styleId="TableGrid">
    <w:name w:val="Table Grid"/>
    <w:basedOn w:val="TableNormal"/>
    <w:uiPriority w:val="59"/>
    <w:rsid w:val="00BB01BA"/>
    <w:pPr>
      <w:spacing w:after="0" w:line="240" w:lineRule="auto"/>
    </w:pPr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B01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01BA"/>
    <w:rPr>
      <w:color w:val="0563C1" w:themeColor="hyperlink"/>
      <w:u w:val="single"/>
    </w:rPr>
  </w:style>
  <w:style w:type="paragraph" w:styleId="ListParagraph">
    <w:name w:val="List Paragraph"/>
    <w:aliases w:val="List Paragraph1,Recommendation,List Paragraph11,List Paragraph Number,Bullet point,Bulleted Para,NFP GP Bulleted List,bullet point list,L,Bullet points,Content descriptions,Bullet Point,List Paragraph2,List Paragraph111,F5 List Paragraph"/>
    <w:basedOn w:val="Normal"/>
    <w:link w:val="ListParagraphChar"/>
    <w:uiPriority w:val="34"/>
    <w:qFormat/>
    <w:rsid w:val="00BB01BA"/>
    <w:pPr>
      <w:spacing w:after="200" w:line="276" w:lineRule="auto"/>
      <w:ind w:left="720"/>
      <w:contextualSpacing/>
    </w:pPr>
    <w:rPr>
      <w:rFonts w:ascii="Corbel" w:hAnsi="Corbe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7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31C"/>
    <w:rPr>
      <w:b/>
      <w:bCs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List Paragraph Number Char,Bullet point Char,Bulleted Para Char,NFP GP Bulleted List Char,bullet point list Char,L Char,Bullet points Char,Content descriptions Char"/>
    <w:link w:val="ListParagraph"/>
    <w:uiPriority w:val="34"/>
    <w:qFormat/>
    <w:locked/>
    <w:rsid w:val="005C54C0"/>
    <w:rPr>
      <w:rFonts w:ascii="Corbel" w:hAnsi="Corbe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assistancereview@ag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652E-2DC7-47D3-860B-A0677698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steera</dc:creator>
  <cp:keywords/>
  <dc:description/>
  <cp:lastModifiedBy>Cathy Baker</cp:lastModifiedBy>
  <cp:revision>2</cp:revision>
  <dcterms:created xsi:type="dcterms:W3CDTF">2019-10-22T01:57:00Z</dcterms:created>
  <dcterms:modified xsi:type="dcterms:W3CDTF">2019-10-22T01:57:00Z</dcterms:modified>
</cp:coreProperties>
</file>